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B01789" w:rsidTr="00BC5A54">
        <w:trPr>
          <w:trHeight w:val="624"/>
        </w:trPr>
        <w:tc>
          <w:tcPr>
            <w:tcW w:w="8356" w:type="dxa"/>
          </w:tcPr>
          <w:p w:rsidR="00B01789" w:rsidRDefault="00B01789" w:rsidP="004E2347">
            <w:pPr>
              <w:pStyle w:val="a5"/>
              <w:rPr>
                <w:rFonts w:ascii="Tahoma" w:hAnsi="Tahoma"/>
                <w:sz w:val="28"/>
                <w:szCs w:val="28"/>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tc>
      </w:tr>
    </w:tbl>
    <w:p w:rsidR="00A35ADB" w:rsidRDefault="00A35ADB" w:rsidP="00860920">
      <w:pPr>
        <w:jc w:val="right"/>
        <w:rPr>
          <w:rFonts w:ascii="David" w:hAnsi="David"/>
          <w:sz w:val="26"/>
          <w:szCs w:val="26"/>
          <w:rtl/>
        </w:rPr>
      </w:pPr>
    </w:p>
    <w:p w:rsidR="00860920" w:rsidRPr="004B3A40" w:rsidRDefault="00661DFD" w:rsidP="003F781C">
      <w:pPr>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3F781C">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3F781C">
            <w:rPr>
              <w:rFonts w:ascii="David" w:hAnsi="David"/>
              <w:b/>
              <w:bCs/>
              <w:sz w:val="28"/>
              <w:szCs w:val="28"/>
            </w:rPr>
            <w:t>4266/24</w:t>
          </w:r>
        </w:sdtContent>
      </w:sdt>
    </w:p>
    <w:p w:rsidR="00860920" w:rsidRPr="004B3A40" w:rsidRDefault="00860920" w:rsidP="003F781C">
      <w:pPr>
        <w:pStyle w:val="a5"/>
        <w:jc w:val="right"/>
        <w:rPr>
          <w:sz w:val="28"/>
          <w:szCs w:val="28"/>
          <w:rtl/>
        </w:rPr>
      </w:pPr>
    </w:p>
    <w:p w:rsidR="0094424E" w:rsidRDefault="0094424E" w:rsidP="00D44968">
      <w:pPr>
        <w:suppressLineNumbers/>
        <w:rPr>
          <w:rtl/>
        </w:rPr>
      </w:pPr>
      <w:r>
        <w:rPr>
          <w:rtl/>
        </w:rPr>
        <w:t xml:space="preserve"> </w:t>
      </w:r>
    </w:p>
    <w:tbl>
      <w:tblPr>
        <w:bidiVisual/>
        <w:tblW w:w="0" w:type="dxa"/>
        <w:tblLayout w:type="fixed"/>
        <w:tblLook w:val="04A0" w:firstRow="1" w:lastRow="0" w:firstColumn="1" w:lastColumn="0" w:noHBand="0" w:noVBand="1"/>
      </w:tblPr>
      <w:tblGrid>
        <w:gridCol w:w="3261"/>
        <w:gridCol w:w="5239"/>
      </w:tblGrid>
      <w:tr w:rsidR="001710ED" w:rsidTr="001710ED">
        <w:trPr>
          <w:trHeight w:val="287"/>
        </w:trPr>
        <w:tc>
          <w:tcPr>
            <w:tcW w:w="3261" w:type="dxa"/>
            <w:hideMark/>
          </w:tcPr>
          <w:p w:rsidR="001710ED" w:rsidRDefault="001710ED">
            <w:pPr>
              <w:pStyle w:val="BodyRuller"/>
              <w:rPr>
                <w:rFonts w:cs="Miriam"/>
                <w:b/>
                <w:bCs/>
                <w:u w:val="single"/>
              </w:rPr>
            </w:pPr>
            <w:r>
              <w:rPr>
                <w:rtl/>
              </w:rPr>
              <w:t>לפני:</w:t>
            </w:r>
            <w:r>
              <w:rPr>
                <w:rtl/>
              </w:rPr>
              <w:tab/>
            </w:r>
          </w:p>
        </w:tc>
        <w:tc>
          <w:tcPr>
            <w:tcW w:w="5239" w:type="dxa"/>
            <w:hideMark/>
          </w:tcPr>
          <w:p w:rsidR="001710ED" w:rsidRDefault="001710ED">
            <w:pPr>
              <w:pStyle w:val="BodyRuller"/>
            </w:pPr>
            <w:r>
              <w:rPr>
                <w:rtl/>
              </w:rPr>
              <w:t xml:space="preserve">כבוד השופטת י' </w:t>
            </w:r>
            <w:proofErr w:type="spellStart"/>
            <w:r>
              <w:rPr>
                <w:rtl/>
              </w:rPr>
              <w:t>וילנר</w:t>
            </w:r>
            <w:proofErr w:type="spellEnd"/>
          </w:p>
        </w:tc>
      </w:tr>
      <w:tr w:rsidR="001710ED" w:rsidTr="001710ED">
        <w:trPr>
          <w:trHeight w:val="287"/>
        </w:trPr>
        <w:tc>
          <w:tcPr>
            <w:tcW w:w="3261" w:type="dxa"/>
          </w:tcPr>
          <w:p w:rsidR="001710ED" w:rsidRDefault="001710ED">
            <w:pPr>
              <w:pStyle w:val="BodyRuller"/>
            </w:pPr>
          </w:p>
        </w:tc>
        <w:tc>
          <w:tcPr>
            <w:tcW w:w="5239" w:type="dxa"/>
            <w:hideMark/>
          </w:tcPr>
          <w:p w:rsidR="001710ED" w:rsidRDefault="001710ED">
            <w:pPr>
              <w:pStyle w:val="BodyRuller"/>
            </w:pPr>
            <w:r>
              <w:rPr>
                <w:rtl/>
              </w:rPr>
              <w:t xml:space="preserve">כבוד השופט ע' </w:t>
            </w:r>
            <w:proofErr w:type="spellStart"/>
            <w:r>
              <w:rPr>
                <w:rtl/>
              </w:rPr>
              <w:t>גרוסקופף</w:t>
            </w:r>
            <w:proofErr w:type="spellEnd"/>
          </w:p>
        </w:tc>
      </w:tr>
      <w:tr w:rsidR="001710ED" w:rsidTr="001710ED">
        <w:trPr>
          <w:trHeight w:val="287"/>
        </w:trPr>
        <w:tc>
          <w:tcPr>
            <w:tcW w:w="3261" w:type="dxa"/>
          </w:tcPr>
          <w:p w:rsidR="001710ED" w:rsidRDefault="001710ED">
            <w:pPr>
              <w:pStyle w:val="BodyRuller"/>
              <w:rPr>
                <w:rtl/>
              </w:rPr>
            </w:pPr>
          </w:p>
        </w:tc>
        <w:tc>
          <w:tcPr>
            <w:tcW w:w="5239" w:type="dxa"/>
            <w:hideMark/>
          </w:tcPr>
          <w:p w:rsidR="001710ED" w:rsidRDefault="001710ED">
            <w:pPr>
              <w:pStyle w:val="BodyRuller"/>
              <w:rPr>
                <w:rtl/>
              </w:rPr>
            </w:pPr>
            <w:r>
              <w:rPr>
                <w:rtl/>
              </w:rPr>
              <w:t>כבוד השופט א' שטיין</w:t>
            </w:r>
          </w:p>
        </w:tc>
      </w:tr>
    </w:tbl>
    <w:p w:rsidR="001710ED" w:rsidRDefault="001710ED" w:rsidP="001710ED">
      <w:pPr>
        <w:pStyle w:val="Ruller3"/>
        <w:spacing w:line="240" w:lineRule="auto"/>
        <w:rPr>
          <w:rFonts w:cs="Miriam"/>
          <w:b/>
          <w:bCs/>
          <w:u w:val="single"/>
          <w:rtl/>
        </w:rPr>
      </w:pPr>
    </w:p>
    <w:tbl>
      <w:tblPr>
        <w:bidiVisual/>
        <w:tblW w:w="0" w:type="dxa"/>
        <w:tblLayout w:type="fixed"/>
        <w:tblLook w:val="04A0" w:firstRow="1" w:lastRow="0" w:firstColumn="1" w:lastColumn="0" w:noHBand="0" w:noVBand="1"/>
      </w:tblPr>
      <w:tblGrid>
        <w:gridCol w:w="3261"/>
        <w:gridCol w:w="5239"/>
      </w:tblGrid>
      <w:tr w:rsidR="001710ED" w:rsidTr="001710ED">
        <w:trPr>
          <w:trHeight w:val="287"/>
        </w:trPr>
        <w:tc>
          <w:tcPr>
            <w:tcW w:w="3261" w:type="dxa"/>
            <w:hideMark/>
          </w:tcPr>
          <w:p w:rsidR="001710ED" w:rsidRDefault="001710ED">
            <w:pPr>
              <w:pStyle w:val="BodyRuller"/>
              <w:rPr>
                <w:rFonts w:ascii="David" w:hAnsi="David"/>
                <w:rtl/>
              </w:rPr>
            </w:pPr>
            <w:r>
              <w:rPr>
                <w:rFonts w:ascii="David" w:hAnsi="David"/>
                <w:rtl/>
              </w:rPr>
              <w:t>העותר בבג"ץ 4266/24:</w:t>
            </w:r>
          </w:p>
        </w:tc>
        <w:tc>
          <w:tcPr>
            <w:tcW w:w="5239" w:type="dxa"/>
            <w:hideMark/>
          </w:tcPr>
          <w:p w:rsidR="001710ED" w:rsidRDefault="001710ED">
            <w:pPr>
              <w:pStyle w:val="BodyRuller"/>
              <w:rPr>
                <w:rtl/>
              </w:rPr>
            </w:pPr>
            <w:r>
              <w:rPr>
                <w:rtl/>
              </w:rPr>
              <w:t xml:space="preserve">המרכז לקידום מעמד </w:t>
            </w:r>
            <w:proofErr w:type="spellStart"/>
            <w:r>
              <w:rPr>
                <w:rtl/>
              </w:rPr>
              <w:t>האשה</w:t>
            </w:r>
            <w:proofErr w:type="spellEnd"/>
            <w:r>
              <w:rPr>
                <w:rtl/>
              </w:rPr>
              <w:t xml:space="preserve"> ע"ש רות ועמנואל רקמן באוניברסיטת בר אילן</w:t>
            </w:r>
          </w:p>
        </w:tc>
      </w:tr>
    </w:tbl>
    <w:p w:rsidR="001710ED" w:rsidRDefault="001710ED" w:rsidP="001710ED">
      <w:pPr>
        <w:pStyle w:val="Ruller3"/>
        <w:spacing w:line="240" w:lineRule="auto"/>
        <w:rPr>
          <w:rFonts w:cs="Miriam"/>
          <w:b/>
          <w:bCs/>
          <w:sz w:val="16"/>
          <w:szCs w:val="16"/>
          <w:u w:val="single"/>
        </w:rPr>
      </w:pPr>
    </w:p>
    <w:tbl>
      <w:tblPr>
        <w:bidiVisual/>
        <w:tblW w:w="8363" w:type="dxa"/>
        <w:tblLook w:val="04A0" w:firstRow="1" w:lastRow="0" w:firstColumn="1" w:lastColumn="0" w:noHBand="0" w:noVBand="1"/>
      </w:tblPr>
      <w:tblGrid>
        <w:gridCol w:w="3227"/>
        <w:gridCol w:w="5136"/>
      </w:tblGrid>
      <w:tr w:rsidR="001710ED" w:rsidTr="001710ED">
        <w:tc>
          <w:tcPr>
            <w:tcW w:w="3284" w:type="dxa"/>
            <w:hideMark/>
          </w:tcPr>
          <w:p w:rsidR="001710ED" w:rsidRDefault="001710ED">
            <w:pPr>
              <w:pStyle w:val="BodyRuller"/>
            </w:pPr>
            <w:r>
              <w:rPr>
                <w:rtl/>
              </w:rPr>
              <w:t>העותרים בבג"ץ 4712/24:</w:t>
            </w:r>
          </w:p>
        </w:tc>
        <w:tc>
          <w:tcPr>
            <w:tcW w:w="5238" w:type="dxa"/>
            <w:hideMark/>
          </w:tcPr>
          <w:p w:rsidR="001710ED" w:rsidRDefault="001710ED">
            <w:pPr>
              <w:pStyle w:val="BodyRuller"/>
              <w:rPr>
                <w:rtl/>
              </w:rPr>
            </w:pPr>
            <w:r>
              <w:rPr>
                <w:rtl/>
              </w:rPr>
              <w:t>1. הקליניקות המשפטיות, המרכז האקדמי "שערי מדע ומשפט"</w:t>
            </w:r>
          </w:p>
        </w:tc>
      </w:tr>
      <w:tr w:rsidR="001710ED" w:rsidTr="001710ED">
        <w:tc>
          <w:tcPr>
            <w:tcW w:w="3284" w:type="dxa"/>
          </w:tcPr>
          <w:p w:rsidR="001710ED" w:rsidRDefault="001710ED">
            <w:pPr>
              <w:pStyle w:val="BodyRuller"/>
            </w:pPr>
          </w:p>
        </w:tc>
        <w:tc>
          <w:tcPr>
            <w:tcW w:w="5238" w:type="dxa"/>
            <w:hideMark/>
          </w:tcPr>
          <w:p w:rsidR="001710ED" w:rsidRDefault="001710ED">
            <w:pPr>
              <w:pStyle w:val="BodyRuller"/>
            </w:pPr>
            <w:r>
              <w:rPr>
                <w:rtl/>
              </w:rPr>
              <w:t>2. עו"ד הרב ד"ר חיים שיין</w:t>
            </w:r>
          </w:p>
        </w:tc>
      </w:tr>
    </w:tbl>
    <w:p w:rsidR="001710ED" w:rsidRDefault="001710ED" w:rsidP="001710ED">
      <w:pPr>
        <w:pStyle w:val="Ruller3"/>
        <w:spacing w:line="240" w:lineRule="auto"/>
        <w:rPr>
          <w:rFonts w:cs="Miriam"/>
          <w:b/>
          <w:bCs/>
          <w:sz w:val="16"/>
          <w:szCs w:val="16"/>
          <w:u w:val="single"/>
          <w:rtl/>
        </w:rPr>
      </w:pPr>
    </w:p>
    <w:tbl>
      <w:tblPr>
        <w:bidiVisual/>
        <w:tblW w:w="8363" w:type="dxa"/>
        <w:tblLook w:val="04A0" w:firstRow="1" w:lastRow="0" w:firstColumn="1" w:lastColumn="0" w:noHBand="0" w:noVBand="1"/>
      </w:tblPr>
      <w:tblGrid>
        <w:gridCol w:w="3232"/>
        <w:gridCol w:w="5131"/>
      </w:tblGrid>
      <w:tr w:rsidR="001710ED" w:rsidTr="001710ED">
        <w:tc>
          <w:tcPr>
            <w:tcW w:w="3284" w:type="dxa"/>
            <w:hideMark/>
          </w:tcPr>
          <w:p w:rsidR="001710ED" w:rsidRDefault="001710ED">
            <w:pPr>
              <w:pStyle w:val="BodyRuller"/>
              <w:rPr>
                <w:rtl/>
              </w:rPr>
            </w:pPr>
            <w:r>
              <w:rPr>
                <w:rtl/>
              </w:rPr>
              <w:t>העותרת בבג"ץ 4886/24:</w:t>
            </w:r>
          </w:p>
        </w:tc>
        <w:tc>
          <w:tcPr>
            <w:tcW w:w="5238" w:type="dxa"/>
            <w:hideMark/>
          </w:tcPr>
          <w:p w:rsidR="001710ED" w:rsidRDefault="001710ED">
            <w:pPr>
              <w:pStyle w:val="BodyRuller"/>
              <w:rPr>
                <w:rtl/>
              </w:rPr>
            </w:pPr>
            <w:r>
              <w:rPr>
                <w:rtl/>
              </w:rPr>
              <w:t>עתים, ייעוץ ומידע במעגל החיים היהודי</w:t>
            </w:r>
          </w:p>
        </w:tc>
      </w:tr>
    </w:tbl>
    <w:p w:rsidR="001710ED" w:rsidRDefault="001710ED" w:rsidP="001710ED">
      <w:pPr>
        <w:pStyle w:val="Ruller3"/>
        <w:spacing w:line="240" w:lineRule="auto"/>
        <w:rPr>
          <w:rFonts w:cs="Miriam"/>
          <w:b/>
          <w:bCs/>
          <w:sz w:val="16"/>
          <w:szCs w:val="16"/>
          <w:u w:val="single"/>
        </w:rPr>
      </w:pPr>
    </w:p>
    <w:tbl>
      <w:tblPr>
        <w:bidiVisual/>
        <w:tblW w:w="8363" w:type="dxa"/>
        <w:tblLook w:val="04A0" w:firstRow="1" w:lastRow="0" w:firstColumn="1" w:lastColumn="0" w:noHBand="0" w:noVBand="1"/>
      </w:tblPr>
      <w:tblGrid>
        <w:gridCol w:w="3231"/>
        <w:gridCol w:w="5132"/>
      </w:tblGrid>
      <w:tr w:rsidR="001710ED" w:rsidTr="001710ED">
        <w:tc>
          <w:tcPr>
            <w:tcW w:w="3284" w:type="dxa"/>
            <w:hideMark/>
          </w:tcPr>
          <w:p w:rsidR="001710ED" w:rsidRDefault="001710ED">
            <w:pPr>
              <w:pStyle w:val="BodyRuller"/>
            </w:pPr>
            <w:r>
              <w:rPr>
                <w:rtl/>
              </w:rPr>
              <w:t>העותר בבג"ץ 5652/24:</w:t>
            </w:r>
          </w:p>
        </w:tc>
        <w:tc>
          <w:tcPr>
            <w:tcW w:w="5238" w:type="dxa"/>
            <w:hideMark/>
          </w:tcPr>
          <w:p w:rsidR="001710ED" w:rsidRDefault="001710ED">
            <w:pPr>
              <w:pStyle w:val="BodyRuller"/>
              <w:rPr>
                <w:rtl/>
              </w:rPr>
            </w:pPr>
            <w:r>
              <w:rPr>
                <w:rtl/>
              </w:rPr>
              <w:t>הרב אליעזר איגרא</w:t>
            </w:r>
          </w:p>
        </w:tc>
      </w:tr>
    </w:tbl>
    <w:p w:rsidR="001710ED" w:rsidRDefault="001710ED" w:rsidP="001710ED">
      <w:pPr>
        <w:pStyle w:val="Ruller3"/>
        <w:spacing w:line="240" w:lineRule="auto"/>
        <w:rPr>
          <w:rFonts w:cs="Miriam"/>
          <w:b/>
          <w:bCs/>
          <w:u w:val="single"/>
        </w:rPr>
      </w:pPr>
    </w:p>
    <w:tbl>
      <w:tblPr>
        <w:bidiVisual/>
        <w:tblW w:w="8363" w:type="dxa"/>
        <w:tblLook w:val="04A0" w:firstRow="1" w:lastRow="0" w:firstColumn="1" w:lastColumn="0" w:noHBand="0" w:noVBand="1"/>
      </w:tblPr>
      <w:tblGrid>
        <w:gridCol w:w="3222"/>
        <w:gridCol w:w="5141"/>
      </w:tblGrid>
      <w:tr w:rsidR="001710ED" w:rsidTr="001710ED">
        <w:tc>
          <w:tcPr>
            <w:tcW w:w="3222" w:type="dxa"/>
          </w:tcPr>
          <w:p w:rsidR="001710ED" w:rsidRDefault="001710ED">
            <w:pPr>
              <w:pStyle w:val="BodyRuller"/>
            </w:pPr>
          </w:p>
        </w:tc>
        <w:tc>
          <w:tcPr>
            <w:tcW w:w="5141" w:type="dxa"/>
            <w:hideMark/>
          </w:tcPr>
          <w:p w:rsidR="001710ED" w:rsidRDefault="001710ED">
            <w:pPr>
              <w:pStyle w:val="BodyRuller"/>
              <w:rPr>
                <w:rtl/>
              </w:rPr>
            </w:pPr>
            <w:r>
              <w:rPr>
                <w:rtl/>
              </w:rPr>
              <w:t>נ</w:t>
            </w:r>
            <w:r>
              <w:t xml:space="preserve">  </w:t>
            </w:r>
            <w:r>
              <w:rPr>
                <w:rtl/>
              </w:rPr>
              <w:t>ג</w:t>
            </w:r>
            <w:r>
              <w:t xml:space="preserve">  </w:t>
            </w:r>
            <w:r>
              <w:rPr>
                <w:rtl/>
              </w:rPr>
              <w:t>ד</w:t>
            </w:r>
          </w:p>
        </w:tc>
      </w:tr>
    </w:tbl>
    <w:p w:rsidR="001710ED" w:rsidRDefault="001710ED" w:rsidP="001710ED">
      <w:pPr>
        <w:pStyle w:val="Ruller3"/>
        <w:spacing w:line="240" w:lineRule="auto"/>
      </w:pPr>
    </w:p>
    <w:tbl>
      <w:tblPr>
        <w:bidiVisual/>
        <w:tblW w:w="0" w:type="dxa"/>
        <w:tblLayout w:type="fixed"/>
        <w:tblLook w:val="04A0" w:firstRow="1" w:lastRow="0" w:firstColumn="1" w:lastColumn="0" w:noHBand="0" w:noVBand="1"/>
      </w:tblPr>
      <w:tblGrid>
        <w:gridCol w:w="3261"/>
        <w:gridCol w:w="5239"/>
      </w:tblGrid>
      <w:tr w:rsidR="001710ED" w:rsidTr="001710ED">
        <w:trPr>
          <w:trHeight w:val="287"/>
        </w:trPr>
        <w:tc>
          <w:tcPr>
            <w:tcW w:w="3261" w:type="dxa"/>
            <w:hideMark/>
          </w:tcPr>
          <w:p w:rsidR="001710ED" w:rsidRDefault="001710ED">
            <w:pPr>
              <w:pStyle w:val="BodyRuller"/>
              <w:rPr>
                <w:rFonts w:ascii="David" w:hAnsi="David"/>
              </w:rPr>
            </w:pPr>
            <w:r>
              <w:rPr>
                <w:rFonts w:ascii="David" w:hAnsi="David"/>
                <w:rtl/>
              </w:rPr>
              <w:t>המשיבים בבג"ץ 4266/24:</w:t>
            </w:r>
          </w:p>
        </w:tc>
        <w:tc>
          <w:tcPr>
            <w:tcW w:w="5239" w:type="dxa"/>
            <w:hideMark/>
          </w:tcPr>
          <w:p w:rsidR="001710ED" w:rsidRDefault="001710ED">
            <w:pPr>
              <w:pStyle w:val="BodyRuller"/>
              <w:rPr>
                <w:rtl/>
              </w:rPr>
            </w:pPr>
            <w:r>
              <w:rPr>
                <w:rtl/>
              </w:rPr>
              <w:t>1. כבוד ראש מועצת הרבנות הראשית לציון</w:t>
            </w:r>
          </w:p>
        </w:tc>
      </w:tr>
      <w:tr w:rsidR="001710ED" w:rsidTr="001710ED">
        <w:trPr>
          <w:trHeight w:val="287"/>
        </w:trPr>
        <w:tc>
          <w:tcPr>
            <w:tcW w:w="3261" w:type="dxa"/>
          </w:tcPr>
          <w:p w:rsidR="001710ED" w:rsidRDefault="001710ED">
            <w:pPr>
              <w:pStyle w:val="BodyRuller"/>
              <w:rPr>
                <w:rFonts w:ascii="David" w:hAnsi="David"/>
              </w:rPr>
            </w:pPr>
          </w:p>
        </w:tc>
        <w:tc>
          <w:tcPr>
            <w:tcW w:w="5239" w:type="dxa"/>
            <w:hideMark/>
          </w:tcPr>
          <w:p w:rsidR="001710ED" w:rsidRDefault="001710ED">
            <w:pPr>
              <w:pStyle w:val="BodyRuller"/>
            </w:pPr>
            <w:r>
              <w:rPr>
                <w:rtl/>
              </w:rPr>
              <w:t>2. כבוד נשיא בית הדין הרבני הגדול</w:t>
            </w:r>
          </w:p>
        </w:tc>
      </w:tr>
      <w:tr w:rsidR="001710ED" w:rsidTr="001710ED">
        <w:trPr>
          <w:trHeight w:val="287"/>
        </w:trPr>
        <w:tc>
          <w:tcPr>
            <w:tcW w:w="3261" w:type="dxa"/>
          </w:tcPr>
          <w:p w:rsidR="001710ED" w:rsidRDefault="001710ED">
            <w:pPr>
              <w:pStyle w:val="BodyRuller"/>
              <w:rPr>
                <w:rFonts w:ascii="David" w:hAnsi="David"/>
                <w:rtl/>
              </w:rPr>
            </w:pPr>
          </w:p>
        </w:tc>
        <w:tc>
          <w:tcPr>
            <w:tcW w:w="5239" w:type="dxa"/>
            <w:hideMark/>
          </w:tcPr>
          <w:p w:rsidR="001710ED" w:rsidRDefault="001710ED">
            <w:pPr>
              <w:pStyle w:val="BodyRuller"/>
              <w:rPr>
                <w:rtl/>
              </w:rPr>
            </w:pPr>
            <w:r>
              <w:rPr>
                <w:rtl/>
              </w:rPr>
              <w:t>3. מועצת הרבנות הראשית לישראל</w:t>
            </w:r>
          </w:p>
        </w:tc>
      </w:tr>
      <w:tr w:rsidR="001710ED" w:rsidTr="001710ED">
        <w:trPr>
          <w:trHeight w:val="287"/>
        </w:trPr>
        <w:tc>
          <w:tcPr>
            <w:tcW w:w="3261" w:type="dxa"/>
          </w:tcPr>
          <w:p w:rsidR="001710ED" w:rsidRDefault="001710ED">
            <w:pPr>
              <w:pStyle w:val="BodyRuller"/>
              <w:rPr>
                <w:rFonts w:ascii="David" w:hAnsi="David"/>
                <w:rtl/>
              </w:rPr>
            </w:pPr>
          </w:p>
        </w:tc>
        <w:tc>
          <w:tcPr>
            <w:tcW w:w="5239" w:type="dxa"/>
            <w:hideMark/>
          </w:tcPr>
          <w:p w:rsidR="001710ED" w:rsidRDefault="001710ED">
            <w:pPr>
              <w:pStyle w:val="BodyRuller"/>
              <w:rPr>
                <w:rtl/>
              </w:rPr>
            </w:pPr>
            <w:r>
              <w:rPr>
                <w:rtl/>
              </w:rPr>
              <w:t>4. ממשלת ישראל</w:t>
            </w:r>
          </w:p>
        </w:tc>
      </w:tr>
      <w:tr w:rsidR="001710ED" w:rsidTr="001710ED">
        <w:trPr>
          <w:trHeight w:val="287"/>
        </w:trPr>
        <w:tc>
          <w:tcPr>
            <w:tcW w:w="3261" w:type="dxa"/>
          </w:tcPr>
          <w:p w:rsidR="001710ED" w:rsidRDefault="001710ED">
            <w:pPr>
              <w:pStyle w:val="BodyRuller"/>
              <w:rPr>
                <w:rFonts w:ascii="David" w:hAnsi="David"/>
                <w:rtl/>
              </w:rPr>
            </w:pPr>
          </w:p>
        </w:tc>
        <w:tc>
          <w:tcPr>
            <w:tcW w:w="5239" w:type="dxa"/>
            <w:hideMark/>
          </w:tcPr>
          <w:p w:rsidR="001710ED" w:rsidRDefault="001710ED">
            <w:pPr>
              <w:pStyle w:val="BodyRuller"/>
              <w:rPr>
                <w:rtl/>
              </w:rPr>
            </w:pPr>
            <w:r>
              <w:rPr>
                <w:rtl/>
              </w:rPr>
              <w:t>5. הרשות לקידום מעמד האישה</w:t>
            </w:r>
          </w:p>
        </w:tc>
      </w:tr>
      <w:tr w:rsidR="001710ED" w:rsidTr="001710ED">
        <w:trPr>
          <w:trHeight w:val="287"/>
        </w:trPr>
        <w:tc>
          <w:tcPr>
            <w:tcW w:w="3261" w:type="dxa"/>
          </w:tcPr>
          <w:p w:rsidR="001710ED" w:rsidRDefault="001710ED">
            <w:pPr>
              <w:pStyle w:val="BodyRuller"/>
              <w:rPr>
                <w:rFonts w:ascii="David" w:hAnsi="David"/>
                <w:rtl/>
              </w:rPr>
            </w:pPr>
          </w:p>
        </w:tc>
        <w:tc>
          <w:tcPr>
            <w:tcW w:w="5239" w:type="dxa"/>
            <w:hideMark/>
          </w:tcPr>
          <w:p w:rsidR="001710ED" w:rsidRDefault="001710ED">
            <w:pPr>
              <w:pStyle w:val="BodyRuller"/>
              <w:rPr>
                <w:rtl/>
              </w:rPr>
            </w:pPr>
            <w:r>
              <w:rPr>
                <w:rtl/>
              </w:rPr>
              <w:t>6. היועצת המשפטית לממשלה</w:t>
            </w:r>
          </w:p>
        </w:tc>
      </w:tr>
    </w:tbl>
    <w:p w:rsidR="001710ED" w:rsidRDefault="001710ED" w:rsidP="001710ED">
      <w:pPr>
        <w:pStyle w:val="Ruller3"/>
        <w:spacing w:line="240" w:lineRule="auto"/>
        <w:rPr>
          <w:rtl/>
        </w:rPr>
      </w:pPr>
    </w:p>
    <w:tbl>
      <w:tblPr>
        <w:bidiVisual/>
        <w:tblW w:w="8363" w:type="dxa"/>
        <w:tblLook w:val="04A0" w:firstRow="1" w:lastRow="0" w:firstColumn="1" w:lastColumn="0" w:noHBand="0" w:noVBand="1"/>
      </w:tblPr>
      <w:tblGrid>
        <w:gridCol w:w="3229"/>
        <w:gridCol w:w="5134"/>
      </w:tblGrid>
      <w:tr w:rsidR="001710ED" w:rsidTr="001710ED">
        <w:tc>
          <w:tcPr>
            <w:tcW w:w="3284" w:type="dxa"/>
            <w:hideMark/>
          </w:tcPr>
          <w:p w:rsidR="001710ED" w:rsidRDefault="001710ED">
            <w:pPr>
              <w:pStyle w:val="BodyRuller"/>
              <w:rPr>
                <w:rtl/>
              </w:rPr>
            </w:pPr>
            <w:r>
              <w:rPr>
                <w:rtl/>
              </w:rPr>
              <w:t>המשיבים בבג"ץ 4712/24:</w:t>
            </w:r>
          </w:p>
        </w:tc>
        <w:tc>
          <w:tcPr>
            <w:tcW w:w="5238" w:type="dxa"/>
            <w:hideMark/>
          </w:tcPr>
          <w:p w:rsidR="001710ED" w:rsidRDefault="001710ED">
            <w:pPr>
              <w:pStyle w:val="BodyRuller"/>
              <w:rPr>
                <w:rtl/>
              </w:rPr>
            </w:pPr>
            <w:r>
              <w:rPr>
                <w:rtl/>
              </w:rPr>
              <w:t xml:space="preserve">1. השר לשירותי דת </w:t>
            </w:r>
          </w:p>
        </w:tc>
      </w:tr>
      <w:tr w:rsidR="001710ED" w:rsidTr="001710ED">
        <w:tc>
          <w:tcPr>
            <w:tcW w:w="3284" w:type="dxa"/>
          </w:tcPr>
          <w:p w:rsidR="001710ED" w:rsidRDefault="001710ED">
            <w:pPr>
              <w:pStyle w:val="BodyRuller"/>
            </w:pPr>
          </w:p>
        </w:tc>
        <w:tc>
          <w:tcPr>
            <w:tcW w:w="5238" w:type="dxa"/>
            <w:hideMark/>
          </w:tcPr>
          <w:p w:rsidR="001710ED" w:rsidRDefault="001710ED">
            <w:pPr>
              <w:pStyle w:val="BodyRuller"/>
            </w:pPr>
            <w:r>
              <w:rPr>
                <w:rtl/>
              </w:rPr>
              <w:t>2. מנכ"ל המשרד לשירותי דת</w:t>
            </w:r>
          </w:p>
        </w:tc>
      </w:tr>
      <w:tr w:rsidR="001710ED" w:rsidTr="001710ED">
        <w:tc>
          <w:tcPr>
            <w:tcW w:w="3284" w:type="dxa"/>
          </w:tcPr>
          <w:p w:rsidR="001710ED" w:rsidRDefault="001710ED">
            <w:pPr>
              <w:pStyle w:val="BodyRuller"/>
              <w:rPr>
                <w:rtl/>
              </w:rPr>
            </w:pPr>
          </w:p>
        </w:tc>
        <w:tc>
          <w:tcPr>
            <w:tcW w:w="5238" w:type="dxa"/>
            <w:hideMark/>
          </w:tcPr>
          <w:p w:rsidR="001710ED" w:rsidRDefault="001710ED">
            <w:pPr>
              <w:pStyle w:val="BodyRuller"/>
              <w:rPr>
                <w:rtl/>
              </w:rPr>
            </w:pPr>
            <w:r>
              <w:rPr>
                <w:rtl/>
              </w:rPr>
              <w:t>3. הוועדה לבחירת הרבנים הראשיים לישראל</w:t>
            </w:r>
          </w:p>
        </w:tc>
      </w:tr>
      <w:tr w:rsidR="001710ED" w:rsidTr="001710ED">
        <w:tc>
          <w:tcPr>
            <w:tcW w:w="3284" w:type="dxa"/>
          </w:tcPr>
          <w:p w:rsidR="001710ED" w:rsidRDefault="001710ED">
            <w:pPr>
              <w:pStyle w:val="BodyRuller"/>
              <w:rPr>
                <w:rtl/>
              </w:rPr>
            </w:pPr>
          </w:p>
        </w:tc>
        <w:tc>
          <w:tcPr>
            <w:tcW w:w="5238" w:type="dxa"/>
            <w:hideMark/>
          </w:tcPr>
          <w:p w:rsidR="001710ED" w:rsidRDefault="001710ED">
            <w:pPr>
              <w:pStyle w:val="BodyRuller"/>
              <w:rPr>
                <w:rtl/>
              </w:rPr>
            </w:pPr>
            <w:r>
              <w:rPr>
                <w:rtl/>
              </w:rPr>
              <w:t>4. היועצת המשפטית לממשלה</w:t>
            </w:r>
          </w:p>
        </w:tc>
      </w:tr>
      <w:tr w:rsidR="001710ED" w:rsidTr="001710ED">
        <w:tc>
          <w:tcPr>
            <w:tcW w:w="3284" w:type="dxa"/>
          </w:tcPr>
          <w:p w:rsidR="001710ED" w:rsidRDefault="001710ED">
            <w:pPr>
              <w:pStyle w:val="BodyRuller"/>
              <w:rPr>
                <w:rtl/>
              </w:rPr>
            </w:pPr>
          </w:p>
        </w:tc>
        <w:tc>
          <w:tcPr>
            <w:tcW w:w="5238" w:type="dxa"/>
            <w:hideMark/>
          </w:tcPr>
          <w:p w:rsidR="001710ED" w:rsidRDefault="001710ED">
            <w:pPr>
              <w:pStyle w:val="BodyRuller"/>
              <w:rPr>
                <w:rtl/>
              </w:rPr>
            </w:pPr>
            <w:r>
              <w:rPr>
                <w:rtl/>
              </w:rPr>
              <w:t>5. הרב הראשי לישראל, הרב דוד לאו</w:t>
            </w:r>
          </w:p>
        </w:tc>
      </w:tr>
    </w:tbl>
    <w:p w:rsidR="001710ED" w:rsidRDefault="001710ED" w:rsidP="001710ED">
      <w:pPr>
        <w:pStyle w:val="Ruller3"/>
        <w:spacing w:line="240" w:lineRule="auto"/>
        <w:rPr>
          <w:rtl/>
        </w:rPr>
      </w:pPr>
    </w:p>
    <w:tbl>
      <w:tblPr>
        <w:bidiVisual/>
        <w:tblW w:w="8363" w:type="dxa"/>
        <w:tblLook w:val="04A0" w:firstRow="1" w:lastRow="0" w:firstColumn="1" w:lastColumn="0" w:noHBand="0" w:noVBand="1"/>
      </w:tblPr>
      <w:tblGrid>
        <w:gridCol w:w="3230"/>
        <w:gridCol w:w="5133"/>
      </w:tblGrid>
      <w:tr w:rsidR="001710ED" w:rsidTr="001710ED">
        <w:tc>
          <w:tcPr>
            <w:tcW w:w="3230" w:type="dxa"/>
            <w:hideMark/>
          </w:tcPr>
          <w:p w:rsidR="001710ED" w:rsidRDefault="001710ED">
            <w:pPr>
              <w:pStyle w:val="BodyRuller"/>
              <w:rPr>
                <w:rtl/>
              </w:rPr>
            </w:pPr>
            <w:r>
              <w:rPr>
                <w:rtl/>
              </w:rPr>
              <w:t>המשיבים בבג"ץ 4886/24:</w:t>
            </w:r>
          </w:p>
        </w:tc>
        <w:tc>
          <w:tcPr>
            <w:tcW w:w="5133" w:type="dxa"/>
            <w:hideMark/>
          </w:tcPr>
          <w:p w:rsidR="001710ED" w:rsidRDefault="001710ED">
            <w:pPr>
              <w:pStyle w:val="BodyRuller"/>
              <w:rPr>
                <w:rtl/>
              </w:rPr>
            </w:pPr>
            <w:r>
              <w:rPr>
                <w:rtl/>
              </w:rPr>
              <w:t>1. ועדת הבחירות לבחירת הרבנים הראשיים לישראל</w:t>
            </w:r>
          </w:p>
        </w:tc>
      </w:tr>
      <w:tr w:rsidR="001710ED" w:rsidTr="001710ED">
        <w:tc>
          <w:tcPr>
            <w:tcW w:w="3230" w:type="dxa"/>
          </w:tcPr>
          <w:p w:rsidR="001710ED" w:rsidRDefault="001710ED">
            <w:pPr>
              <w:pStyle w:val="BodyRuller"/>
            </w:pPr>
          </w:p>
        </w:tc>
        <w:tc>
          <w:tcPr>
            <w:tcW w:w="5133" w:type="dxa"/>
            <w:hideMark/>
          </w:tcPr>
          <w:p w:rsidR="001710ED" w:rsidRDefault="001710ED">
            <w:pPr>
              <w:pStyle w:val="BodyRuller"/>
            </w:pPr>
            <w:r>
              <w:rPr>
                <w:rtl/>
              </w:rPr>
              <w:t>2. השר לשירותי דת</w:t>
            </w:r>
          </w:p>
        </w:tc>
      </w:tr>
      <w:tr w:rsidR="001710ED" w:rsidTr="001710ED">
        <w:tc>
          <w:tcPr>
            <w:tcW w:w="3230" w:type="dxa"/>
          </w:tcPr>
          <w:p w:rsidR="001710ED" w:rsidRDefault="001710ED">
            <w:pPr>
              <w:pStyle w:val="BodyRuller"/>
              <w:rPr>
                <w:rtl/>
              </w:rPr>
            </w:pPr>
          </w:p>
        </w:tc>
        <w:tc>
          <w:tcPr>
            <w:tcW w:w="5133" w:type="dxa"/>
            <w:hideMark/>
          </w:tcPr>
          <w:p w:rsidR="001710ED" w:rsidRDefault="001710ED">
            <w:pPr>
              <w:pStyle w:val="BodyRuller"/>
              <w:rPr>
                <w:rtl/>
              </w:rPr>
            </w:pPr>
            <w:r>
              <w:rPr>
                <w:rtl/>
              </w:rPr>
              <w:t>3. הראשון לציון, הרב יצחק יוסף</w:t>
            </w:r>
          </w:p>
        </w:tc>
      </w:tr>
      <w:tr w:rsidR="001710ED" w:rsidTr="001710ED">
        <w:tc>
          <w:tcPr>
            <w:tcW w:w="3230" w:type="dxa"/>
          </w:tcPr>
          <w:p w:rsidR="001710ED" w:rsidRDefault="001710ED">
            <w:pPr>
              <w:pStyle w:val="BodyRuller"/>
              <w:rPr>
                <w:rtl/>
              </w:rPr>
            </w:pPr>
          </w:p>
        </w:tc>
        <w:tc>
          <w:tcPr>
            <w:tcW w:w="5133" w:type="dxa"/>
            <w:hideMark/>
          </w:tcPr>
          <w:p w:rsidR="001710ED" w:rsidRDefault="001710ED">
            <w:pPr>
              <w:pStyle w:val="BodyRuller"/>
              <w:rPr>
                <w:rtl/>
              </w:rPr>
            </w:pPr>
            <w:r>
              <w:rPr>
                <w:rtl/>
              </w:rPr>
              <w:t>4. הרב הראשי לישראל, הרב דוד לאו</w:t>
            </w:r>
          </w:p>
        </w:tc>
      </w:tr>
      <w:tr w:rsidR="001710ED" w:rsidTr="001710ED">
        <w:tc>
          <w:tcPr>
            <w:tcW w:w="3230" w:type="dxa"/>
          </w:tcPr>
          <w:p w:rsidR="001710ED" w:rsidRDefault="001710ED">
            <w:pPr>
              <w:pStyle w:val="BodyRuller"/>
              <w:rPr>
                <w:rtl/>
              </w:rPr>
            </w:pPr>
          </w:p>
        </w:tc>
        <w:tc>
          <w:tcPr>
            <w:tcW w:w="5133" w:type="dxa"/>
            <w:hideMark/>
          </w:tcPr>
          <w:p w:rsidR="001710ED" w:rsidRDefault="001710ED">
            <w:pPr>
              <w:pStyle w:val="BodyRuller"/>
              <w:rPr>
                <w:rtl/>
              </w:rPr>
            </w:pPr>
            <w:r>
              <w:rPr>
                <w:rtl/>
              </w:rPr>
              <w:t>5. שר הפנים</w:t>
            </w:r>
          </w:p>
        </w:tc>
      </w:tr>
      <w:tr w:rsidR="001710ED" w:rsidTr="001710ED">
        <w:tc>
          <w:tcPr>
            <w:tcW w:w="3230" w:type="dxa"/>
            <w:hideMark/>
          </w:tcPr>
          <w:p w:rsidR="001710ED" w:rsidRDefault="001710ED">
            <w:pPr>
              <w:pStyle w:val="BodyRuller"/>
              <w:rPr>
                <w:rtl/>
              </w:rPr>
            </w:pPr>
            <w:r>
              <w:rPr>
                <w:rtl/>
              </w:rPr>
              <w:t>המשיבים בבג"ץ 5652/24:</w:t>
            </w:r>
          </w:p>
        </w:tc>
        <w:tc>
          <w:tcPr>
            <w:tcW w:w="5133" w:type="dxa"/>
            <w:hideMark/>
          </w:tcPr>
          <w:p w:rsidR="001710ED" w:rsidRDefault="001710ED">
            <w:pPr>
              <w:pStyle w:val="BodyRuller"/>
              <w:rPr>
                <w:rtl/>
              </w:rPr>
            </w:pPr>
            <w:r>
              <w:rPr>
                <w:rtl/>
              </w:rPr>
              <w:t xml:space="preserve">1. ועדת הבחירות לביצוע הבחירות של הרבנים הראשיים בישראל </w:t>
            </w:r>
          </w:p>
        </w:tc>
      </w:tr>
      <w:tr w:rsidR="001710ED" w:rsidTr="001710ED">
        <w:tc>
          <w:tcPr>
            <w:tcW w:w="3230" w:type="dxa"/>
          </w:tcPr>
          <w:p w:rsidR="001710ED" w:rsidRDefault="001710ED">
            <w:pPr>
              <w:pStyle w:val="BodyRuller"/>
            </w:pPr>
          </w:p>
        </w:tc>
        <w:tc>
          <w:tcPr>
            <w:tcW w:w="5133" w:type="dxa"/>
            <w:hideMark/>
          </w:tcPr>
          <w:p w:rsidR="001710ED" w:rsidRDefault="001710ED">
            <w:pPr>
              <w:pStyle w:val="BodyRuller"/>
            </w:pPr>
            <w:r>
              <w:rPr>
                <w:rtl/>
              </w:rPr>
              <w:t>2. המשרד לשירותי דת</w:t>
            </w:r>
          </w:p>
        </w:tc>
      </w:tr>
    </w:tbl>
    <w:p w:rsidR="001710ED" w:rsidRDefault="001710ED" w:rsidP="001710ED">
      <w:pPr>
        <w:pStyle w:val="Ruller3"/>
        <w:rPr>
          <w:rtl/>
        </w:rPr>
      </w:pPr>
    </w:p>
    <w:tbl>
      <w:tblPr>
        <w:bidiVisual/>
        <w:tblW w:w="0" w:type="auto"/>
        <w:tblInd w:w="3209" w:type="dxa"/>
        <w:tblLook w:val="04A0" w:firstRow="1" w:lastRow="0" w:firstColumn="1" w:lastColumn="0" w:noHBand="0" w:noVBand="1"/>
      </w:tblPr>
      <w:tblGrid>
        <w:gridCol w:w="5098"/>
      </w:tblGrid>
      <w:tr w:rsidR="001710ED" w:rsidTr="001710ED">
        <w:tc>
          <w:tcPr>
            <w:tcW w:w="5103" w:type="dxa"/>
            <w:hideMark/>
          </w:tcPr>
          <w:p w:rsidR="001710ED" w:rsidRDefault="001710ED">
            <w:pPr>
              <w:pStyle w:val="BodyRuller"/>
              <w:jc w:val="both"/>
              <w:rPr>
                <w:sz w:val="24"/>
                <w:szCs w:val="24"/>
                <w:rtl/>
              </w:rPr>
            </w:pPr>
          </w:p>
        </w:tc>
      </w:tr>
    </w:tbl>
    <w:p w:rsidR="001710ED" w:rsidRDefault="001710ED" w:rsidP="001710ED">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423"/>
        <w:gridCol w:w="2710"/>
      </w:tblGrid>
      <w:tr w:rsidR="001710ED" w:rsidTr="001710ED">
        <w:tc>
          <w:tcPr>
            <w:tcW w:w="3212" w:type="dxa"/>
            <w:tcBorders>
              <w:top w:val="nil"/>
              <w:left w:val="nil"/>
              <w:bottom w:val="nil"/>
              <w:right w:val="nil"/>
            </w:tcBorders>
            <w:hideMark/>
          </w:tcPr>
          <w:p w:rsidR="001710ED" w:rsidRDefault="001710ED">
            <w:pPr>
              <w:pStyle w:val="BodyRuller"/>
              <w:rPr>
                <w:sz w:val="24"/>
                <w:szCs w:val="24"/>
              </w:rPr>
            </w:pPr>
            <w:r>
              <w:rPr>
                <w:sz w:val="24"/>
                <w:szCs w:val="24"/>
                <w:rtl/>
              </w:rPr>
              <w:t>תאריך הישיבה:</w:t>
            </w:r>
          </w:p>
        </w:tc>
        <w:tc>
          <w:tcPr>
            <w:tcW w:w="2409" w:type="dxa"/>
            <w:tcBorders>
              <w:top w:val="nil"/>
              <w:left w:val="nil"/>
              <w:bottom w:val="nil"/>
              <w:right w:val="nil"/>
            </w:tcBorders>
            <w:hideMark/>
          </w:tcPr>
          <w:p w:rsidR="001710ED" w:rsidRDefault="001710ED">
            <w:pPr>
              <w:pStyle w:val="BodyRuller"/>
              <w:rPr>
                <w:sz w:val="24"/>
                <w:szCs w:val="24"/>
                <w:rtl/>
              </w:rPr>
            </w:pPr>
            <w:r>
              <w:rPr>
                <w:sz w:val="24"/>
                <w:szCs w:val="24"/>
                <w:rtl/>
              </w:rPr>
              <w:t xml:space="preserve">‏ט"ז בתמוז </w:t>
            </w:r>
            <w:proofErr w:type="spellStart"/>
            <w:r>
              <w:rPr>
                <w:sz w:val="24"/>
                <w:szCs w:val="24"/>
                <w:rtl/>
              </w:rPr>
              <w:t>התשפ"ד</w:t>
            </w:r>
            <w:proofErr w:type="spellEnd"/>
            <w:r>
              <w:rPr>
                <w:sz w:val="24"/>
                <w:szCs w:val="24"/>
                <w:rtl/>
              </w:rPr>
              <w:t xml:space="preserve"> </w:t>
            </w:r>
          </w:p>
        </w:tc>
        <w:tc>
          <w:tcPr>
            <w:tcW w:w="2694" w:type="dxa"/>
            <w:tcBorders>
              <w:top w:val="nil"/>
              <w:left w:val="nil"/>
              <w:bottom w:val="nil"/>
              <w:right w:val="nil"/>
            </w:tcBorders>
            <w:hideMark/>
          </w:tcPr>
          <w:p w:rsidR="001710ED" w:rsidRDefault="001710ED">
            <w:pPr>
              <w:pStyle w:val="BodyRuller"/>
              <w:rPr>
                <w:sz w:val="18"/>
                <w:szCs w:val="24"/>
              </w:rPr>
            </w:pPr>
            <w:r>
              <w:rPr>
                <w:sz w:val="18"/>
                <w:szCs w:val="24"/>
                <w:rtl/>
              </w:rPr>
              <w:t>(‏22.7.2024)</w:t>
            </w:r>
          </w:p>
        </w:tc>
      </w:tr>
    </w:tbl>
    <w:p w:rsidR="001710ED" w:rsidRDefault="001710ED" w:rsidP="001710ED">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5151"/>
      </w:tblGrid>
      <w:tr w:rsidR="001710ED" w:rsidTr="001710ED">
        <w:tc>
          <w:tcPr>
            <w:tcW w:w="3257" w:type="dxa"/>
            <w:tcBorders>
              <w:top w:val="nil"/>
              <w:left w:val="nil"/>
              <w:bottom w:val="nil"/>
              <w:right w:val="nil"/>
            </w:tcBorders>
            <w:hideMark/>
          </w:tcPr>
          <w:p w:rsidR="001710ED" w:rsidRDefault="001710ED">
            <w:pPr>
              <w:pStyle w:val="BodyRuller"/>
              <w:rPr>
                <w:rtl/>
              </w:rPr>
            </w:pPr>
            <w:r>
              <w:rPr>
                <w:rtl/>
              </w:rPr>
              <w:t>בשם העותר בבג"ץ 4266/24:</w:t>
            </w:r>
          </w:p>
        </w:tc>
        <w:tc>
          <w:tcPr>
            <w:tcW w:w="5238" w:type="dxa"/>
            <w:tcBorders>
              <w:top w:val="nil"/>
              <w:left w:val="nil"/>
              <w:bottom w:val="nil"/>
              <w:right w:val="nil"/>
            </w:tcBorders>
            <w:hideMark/>
          </w:tcPr>
          <w:p w:rsidR="001710ED" w:rsidRDefault="001710ED">
            <w:pPr>
              <w:pStyle w:val="BodyRuller"/>
            </w:pPr>
            <w:r>
              <w:rPr>
                <w:rtl/>
              </w:rPr>
              <w:t>עו"ד ורד בר; עו"ד שי זילברברג</w:t>
            </w:r>
          </w:p>
        </w:tc>
      </w:tr>
    </w:tbl>
    <w:p w:rsidR="001710ED" w:rsidRDefault="001710ED" w:rsidP="001710ED">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5149"/>
      </w:tblGrid>
      <w:tr w:rsidR="001710ED" w:rsidTr="001710ED">
        <w:tc>
          <w:tcPr>
            <w:tcW w:w="3257" w:type="dxa"/>
            <w:tcBorders>
              <w:top w:val="nil"/>
              <w:left w:val="nil"/>
              <w:bottom w:val="nil"/>
              <w:right w:val="nil"/>
            </w:tcBorders>
            <w:hideMark/>
          </w:tcPr>
          <w:p w:rsidR="001710ED" w:rsidRDefault="001710ED">
            <w:pPr>
              <w:pStyle w:val="BodyRuller"/>
            </w:pPr>
            <w:r>
              <w:rPr>
                <w:rtl/>
              </w:rPr>
              <w:t>בשם העותרים בבג"ץ 4712/24:</w:t>
            </w:r>
          </w:p>
        </w:tc>
        <w:tc>
          <w:tcPr>
            <w:tcW w:w="5238" w:type="dxa"/>
            <w:tcBorders>
              <w:top w:val="nil"/>
              <w:left w:val="nil"/>
              <w:bottom w:val="nil"/>
              <w:right w:val="nil"/>
            </w:tcBorders>
          </w:tcPr>
          <w:p w:rsidR="001710ED" w:rsidRDefault="001710ED">
            <w:pPr>
              <w:pStyle w:val="BodyRuller"/>
              <w:rPr>
                <w:rtl/>
              </w:rPr>
            </w:pPr>
          </w:p>
          <w:p w:rsidR="001710ED" w:rsidRDefault="001710ED">
            <w:pPr>
              <w:pStyle w:val="BodyRuller"/>
              <w:rPr>
                <w:rtl/>
              </w:rPr>
            </w:pPr>
            <w:r>
              <w:rPr>
                <w:rtl/>
              </w:rPr>
              <w:t xml:space="preserve">עו"ד פרופ' אביעד הכהן; עו"ד חיים שיין </w:t>
            </w:r>
          </w:p>
        </w:tc>
      </w:tr>
    </w:tbl>
    <w:p w:rsidR="001710ED" w:rsidRDefault="001710ED" w:rsidP="001710ED">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5149"/>
      </w:tblGrid>
      <w:tr w:rsidR="001710ED" w:rsidTr="001710ED">
        <w:tc>
          <w:tcPr>
            <w:tcW w:w="3257" w:type="dxa"/>
            <w:tcBorders>
              <w:top w:val="nil"/>
              <w:left w:val="nil"/>
              <w:bottom w:val="nil"/>
              <w:right w:val="nil"/>
            </w:tcBorders>
            <w:hideMark/>
          </w:tcPr>
          <w:p w:rsidR="001710ED" w:rsidRDefault="001710ED">
            <w:pPr>
              <w:pStyle w:val="BodyRuller"/>
            </w:pPr>
            <w:r>
              <w:rPr>
                <w:rtl/>
              </w:rPr>
              <w:t>בשם העותרת בבג"ץ 4886/24:</w:t>
            </w:r>
          </w:p>
        </w:tc>
        <w:tc>
          <w:tcPr>
            <w:tcW w:w="5238" w:type="dxa"/>
            <w:tcBorders>
              <w:top w:val="nil"/>
              <w:left w:val="nil"/>
              <w:bottom w:val="nil"/>
              <w:right w:val="nil"/>
            </w:tcBorders>
          </w:tcPr>
          <w:p w:rsidR="001710ED" w:rsidRDefault="001710ED">
            <w:pPr>
              <w:pStyle w:val="BodyRuller"/>
              <w:rPr>
                <w:rtl/>
              </w:rPr>
            </w:pPr>
          </w:p>
          <w:p w:rsidR="001710ED" w:rsidRDefault="001710ED">
            <w:pPr>
              <w:pStyle w:val="BodyRuller"/>
              <w:rPr>
                <w:rtl/>
              </w:rPr>
            </w:pPr>
            <w:r>
              <w:rPr>
                <w:rtl/>
              </w:rPr>
              <w:t xml:space="preserve">עו"ד יאיר מבורך שאג; עו"ד אלה </w:t>
            </w:r>
            <w:proofErr w:type="spellStart"/>
            <w:r>
              <w:rPr>
                <w:rtl/>
              </w:rPr>
              <w:t>סקעת</w:t>
            </w:r>
            <w:proofErr w:type="spellEnd"/>
          </w:p>
        </w:tc>
      </w:tr>
    </w:tbl>
    <w:p w:rsidR="001710ED" w:rsidRDefault="001710ED" w:rsidP="001710ED">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0"/>
        <w:gridCol w:w="5153"/>
      </w:tblGrid>
      <w:tr w:rsidR="001710ED" w:rsidTr="001710ED">
        <w:tc>
          <w:tcPr>
            <w:tcW w:w="3257" w:type="dxa"/>
            <w:tcBorders>
              <w:top w:val="nil"/>
              <w:left w:val="nil"/>
              <w:bottom w:val="nil"/>
              <w:right w:val="nil"/>
            </w:tcBorders>
            <w:hideMark/>
          </w:tcPr>
          <w:p w:rsidR="001710ED" w:rsidRDefault="001710ED">
            <w:pPr>
              <w:pStyle w:val="BodyRuller"/>
            </w:pPr>
            <w:r>
              <w:rPr>
                <w:rtl/>
              </w:rPr>
              <w:t>בשם העותר בבג"ץ 5652/24:</w:t>
            </w:r>
          </w:p>
        </w:tc>
        <w:tc>
          <w:tcPr>
            <w:tcW w:w="5238" w:type="dxa"/>
            <w:tcBorders>
              <w:top w:val="nil"/>
              <w:left w:val="nil"/>
              <w:bottom w:val="nil"/>
              <w:right w:val="nil"/>
            </w:tcBorders>
            <w:hideMark/>
          </w:tcPr>
          <w:p w:rsidR="001710ED" w:rsidRDefault="001710ED">
            <w:pPr>
              <w:pStyle w:val="BodyRuller"/>
              <w:rPr>
                <w:rtl/>
              </w:rPr>
            </w:pPr>
            <w:r>
              <w:rPr>
                <w:rtl/>
              </w:rPr>
              <w:t xml:space="preserve">עו"ד דב אברמוביץ'; עו"ד אופק ברוך </w:t>
            </w:r>
          </w:p>
        </w:tc>
      </w:tr>
    </w:tbl>
    <w:p w:rsidR="001710ED" w:rsidRDefault="001710ED" w:rsidP="001710ED">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5147"/>
      </w:tblGrid>
      <w:tr w:rsidR="001710ED" w:rsidTr="001710ED">
        <w:tc>
          <w:tcPr>
            <w:tcW w:w="3257" w:type="dxa"/>
            <w:tcBorders>
              <w:top w:val="nil"/>
              <w:left w:val="nil"/>
              <w:bottom w:val="nil"/>
              <w:right w:val="nil"/>
            </w:tcBorders>
            <w:hideMark/>
          </w:tcPr>
          <w:p w:rsidR="001710ED" w:rsidRDefault="001710ED">
            <w:pPr>
              <w:pStyle w:val="BodyRuller"/>
            </w:pPr>
            <w:r>
              <w:rPr>
                <w:rtl/>
              </w:rPr>
              <w:t>בשם המשיבים:</w:t>
            </w:r>
          </w:p>
        </w:tc>
        <w:tc>
          <w:tcPr>
            <w:tcW w:w="5238" w:type="dxa"/>
            <w:tcBorders>
              <w:top w:val="nil"/>
              <w:left w:val="nil"/>
              <w:bottom w:val="nil"/>
              <w:right w:val="nil"/>
            </w:tcBorders>
            <w:hideMark/>
          </w:tcPr>
          <w:p w:rsidR="001710ED" w:rsidRDefault="001710ED">
            <w:pPr>
              <w:pStyle w:val="BodyRuller"/>
              <w:rPr>
                <w:rtl/>
              </w:rPr>
            </w:pPr>
            <w:r>
              <w:rPr>
                <w:rtl/>
              </w:rPr>
              <w:t xml:space="preserve">עו"ד יונתן </w:t>
            </w:r>
            <w:proofErr w:type="spellStart"/>
            <w:r>
              <w:rPr>
                <w:rtl/>
              </w:rPr>
              <w:t>נד"ב</w:t>
            </w:r>
            <w:proofErr w:type="spellEnd"/>
            <w:r>
              <w:rPr>
                <w:rtl/>
              </w:rPr>
              <w:t xml:space="preserve">; עו"ד יונתן </w:t>
            </w:r>
            <w:proofErr w:type="spellStart"/>
            <w:r>
              <w:rPr>
                <w:rtl/>
              </w:rPr>
              <w:t>סיטון</w:t>
            </w:r>
            <w:proofErr w:type="spellEnd"/>
          </w:p>
        </w:tc>
      </w:tr>
    </w:tbl>
    <w:p w:rsidR="001710ED" w:rsidRDefault="001710ED" w:rsidP="001710ED">
      <w:pPr>
        <w:pStyle w:val="Ruller3"/>
      </w:pPr>
    </w:p>
    <w:p w:rsidR="0094424E" w:rsidRPr="001710ED" w:rsidRDefault="0094424E" w:rsidP="00D44968">
      <w:pPr>
        <w:suppressLineNumbers/>
        <w:rPr>
          <w:rFonts w:ascii="David" w:hAnsi="David"/>
          <w:rtl/>
        </w:rPr>
      </w:pPr>
    </w:p>
    <w:p w:rsidR="001710ED" w:rsidRPr="00105E0F" w:rsidRDefault="001710ED" w:rsidP="00D44968">
      <w:pPr>
        <w:suppressLineNumbers/>
        <w:rPr>
          <w:rFonts w:ascii="David" w:hAnsi="David"/>
          <w:rtl/>
        </w:rPr>
      </w:pPr>
    </w:p>
    <w:tbl>
      <w:tblPr>
        <w:tblStyle w:val="ad"/>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694556" w:rsidRPr="00105E0F" w:rsidTr="00BC5A54">
        <w:trPr>
          <w:jc w:val="center"/>
        </w:trPr>
        <w:tc>
          <w:tcPr>
            <w:tcW w:w="8369" w:type="dxa"/>
          </w:tcPr>
          <w:p w:rsidR="00694556" w:rsidRPr="00C615AB" w:rsidRDefault="00BC5A54">
            <w:pPr>
              <w:bidi w:val="0"/>
              <w:jc w:val="center"/>
              <w:rPr>
                <w:rFonts w:ascii="David" w:hAnsi="David"/>
                <w:b/>
                <w:bCs/>
                <w:spacing w:val="30"/>
                <w:sz w:val="28"/>
                <w:szCs w:val="28"/>
                <w:u w:val="single"/>
                <w:rtl/>
              </w:rPr>
            </w:pPr>
            <w:r>
              <w:rPr>
                <w:rFonts w:ascii="David" w:hAnsi="David" w:hint="cs"/>
                <w:b/>
                <w:bCs/>
                <w:spacing w:val="30"/>
                <w:sz w:val="28"/>
                <w:szCs w:val="28"/>
                <w:u w:val="single"/>
                <w:rtl/>
              </w:rPr>
              <w:t>פסק-</w:t>
            </w:r>
            <w:r w:rsidR="006D2099">
              <w:rPr>
                <w:rFonts w:ascii="David" w:hAnsi="David" w:hint="cs"/>
                <w:b/>
                <w:bCs/>
                <w:spacing w:val="30"/>
                <w:sz w:val="28"/>
                <w:szCs w:val="28"/>
                <w:u w:val="single"/>
                <w:rtl/>
              </w:rPr>
              <w:t>דין</w:t>
            </w:r>
          </w:p>
          <w:p w:rsidR="00D44968" w:rsidRPr="00105E0F" w:rsidRDefault="00D44968" w:rsidP="00D44968">
            <w:pPr>
              <w:bidi w:val="0"/>
              <w:jc w:val="center"/>
              <w:rPr>
                <w:rFonts w:ascii="David" w:hAnsi="David"/>
                <w:b/>
                <w:bCs/>
                <w:u w:val="single"/>
              </w:rPr>
            </w:pPr>
          </w:p>
        </w:tc>
      </w:tr>
    </w:tbl>
    <w:p w:rsidR="00694556" w:rsidRPr="00BC5A54" w:rsidRDefault="00694556">
      <w:pPr>
        <w:spacing w:line="360" w:lineRule="auto"/>
        <w:jc w:val="both"/>
        <w:rPr>
          <w:rFonts w:ascii="FrankRuehl" w:hAnsi="FrankRuehl" w:cs="FrankRuehl"/>
          <w:spacing w:val="10"/>
          <w:sz w:val="28"/>
          <w:szCs w:val="28"/>
          <w:rtl/>
        </w:rPr>
      </w:pPr>
      <w:bookmarkStart w:id="1" w:name="NGCSBookmark"/>
      <w:bookmarkEnd w:id="1"/>
    </w:p>
    <w:p w:rsidR="00AD6F0B" w:rsidRDefault="00AD6F0B" w:rsidP="00AD6F0B">
      <w:pPr>
        <w:pStyle w:val="Ruller40"/>
        <w:rPr>
          <w:rtl/>
        </w:rPr>
      </w:pPr>
      <w:r>
        <w:rPr>
          <w:rtl/>
        </w:rPr>
        <w:tab/>
        <w:t xml:space="preserve">עניינן של העתירות שלפנינו בסוגיות שונות הנוגעות לקיום בחירות לתפקיד הרבנים הראשיים לישראל, או ליתר דיוק – לאי-קיומן. העותרים הם עמותות ואנשים שונים אשר אחת היא מהות עתירותיהם – דרישה כי רשויות ואורגנים שונים של מדינת ישראל יפעלו על פי דין, על מנת להביא לקיום בחירות לתפקיד הרבנים הראשיים, אשר מועד קיומן על פי חוק חלף זה מכבר. </w:t>
      </w:r>
    </w:p>
    <w:p w:rsidR="00AD6F0B" w:rsidRDefault="00AD6F0B" w:rsidP="00AD6F0B">
      <w:pPr>
        <w:pStyle w:val="Ruller40"/>
        <w:rPr>
          <w:rtl/>
        </w:rPr>
      </w:pPr>
    </w:p>
    <w:p w:rsidR="00AD6F0B" w:rsidRDefault="00AD6F0B" w:rsidP="00AD6F0B">
      <w:pPr>
        <w:pStyle w:val="Ruller40"/>
        <w:rPr>
          <w:rFonts w:ascii="Century" w:hAnsi="Century" w:cs="Miriam"/>
          <w:b/>
          <w:spacing w:val="0"/>
          <w:szCs w:val="24"/>
          <w:rtl/>
        </w:rPr>
      </w:pPr>
      <w:r>
        <w:rPr>
          <w:rFonts w:ascii="Century" w:hAnsi="Century" w:cs="Miriam"/>
          <w:b/>
          <w:spacing w:val="0"/>
          <w:szCs w:val="24"/>
          <w:rtl/>
        </w:rPr>
        <w:t>רקע</w:t>
      </w:r>
    </w:p>
    <w:p w:rsidR="00AD6F0B" w:rsidRDefault="00AD6F0B" w:rsidP="00AD6F0B">
      <w:pPr>
        <w:pStyle w:val="Ruller40"/>
        <w:rPr>
          <w:rtl/>
        </w:rPr>
      </w:pPr>
    </w:p>
    <w:p w:rsidR="00AD6F0B" w:rsidRDefault="00AD6F0B" w:rsidP="00AD6F0B">
      <w:pPr>
        <w:pStyle w:val="Ruller40"/>
        <w:rPr>
          <w:rtl/>
        </w:rPr>
      </w:pPr>
      <w:r>
        <w:rPr>
          <w:rtl/>
        </w:rPr>
        <w:t>1.</w:t>
      </w:r>
      <w:r>
        <w:rPr>
          <w:rtl/>
        </w:rPr>
        <w:tab/>
        <w:t xml:space="preserve">לפני למעלה מעשור, בתאריך י"ז באב </w:t>
      </w:r>
      <w:proofErr w:type="spellStart"/>
      <w:r>
        <w:rPr>
          <w:rtl/>
        </w:rPr>
        <w:t>התשע"ג</w:t>
      </w:r>
      <w:proofErr w:type="spellEnd"/>
      <w:r>
        <w:rPr>
          <w:rtl/>
        </w:rPr>
        <w:t xml:space="preserve"> (24.7.2013), נבחרו כבוד הרב </w:t>
      </w:r>
      <w:r>
        <w:rPr>
          <w:rFonts w:ascii="Century" w:hAnsi="Century" w:cs="Miriam"/>
          <w:b/>
          <w:spacing w:val="0"/>
          <w:szCs w:val="24"/>
          <w:rtl/>
        </w:rPr>
        <w:t>יצחק יוסף</w:t>
      </w:r>
      <w:r>
        <w:rPr>
          <w:rtl/>
        </w:rPr>
        <w:t xml:space="preserve"> וכבוד הרב </w:t>
      </w:r>
      <w:r>
        <w:rPr>
          <w:rFonts w:ascii="Century" w:hAnsi="Century" w:cs="Miriam"/>
          <w:b/>
          <w:spacing w:val="0"/>
          <w:szCs w:val="24"/>
          <w:rtl/>
        </w:rPr>
        <w:t>דוד לאו</w:t>
      </w:r>
      <w:r>
        <w:rPr>
          <w:rtl/>
        </w:rPr>
        <w:t xml:space="preserve"> לכהן כרבנים הראשיים לישראל, וביום זה אף החלו בכהונתם (וזאת בשל הוראות חוק הרבנות הראשית לישראל (הארכת כהונה של הרבנים הראשיים לישראל) (הוראת שעה), התשע"ג-2013)). לפי הוראות חוק הרבנות הראשית לישראל, תש"ם-1980 (להלן: </w:t>
      </w:r>
      <w:r>
        <w:rPr>
          <w:rFonts w:ascii="Century" w:hAnsi="Century" w:cs="Miriam"/>
          <w:b/>
          <w:spacing w:val="0"/>
          <w:szCs w:val="24"/>
          <w:rtl/>
        </w:rPr>
        <w:t xml:space="preserve">חוק הרבנות </w:t>
      </w:r>
      <w:r>
        <w:rPr>
          <w:rFonts w:ascii="Century" w:hAnsi="Century"/>
          <w:rtl/>
        </w:rPr>
        <w:t xml:space="preserve">או </w:t>
      </w:r>
      <w:r>
        <w:rPr>
          <w:rFonts w:ascii="Century" w:hAnsi="Century" w:cs="Miriam"/>
          <w:b/>
          <w:spacing w:val="0"/>
          <w:szCs w:val="24"/>
          <w:rtl/>
        </w:rPr>
        <w:t>החוק</w:t>
      </w:r>
      <w:r>
        <w:rPr>
          <w:rtl/>
        </w:rPr>
        <w:t xml:space="preserve">), רב ראשי לישראל יכהן עשר שנים, ותקופת הכהונה תחושב לפי הלוח העברי (סעיף 16(א) לחוק). לפיכך, כהונת הרבנים הראשיים עתידה הייתה להסתיים בסוף יום ט"ז באב </w:t>
      </w:r>
      <w:proofErr w:type="spellStart"/>
      <w:r>
        <w:rPr>
          <w:rtl/>
        </w:rPr>
        <w:t>התשפ"ג</w:t>
      </w:r>
      <w:proofErr w:type="spellEnd"/>
      <w:r>
        <w:rPr>
          <w:rtl/>
        </w:rPr>
        <w:t xml:space="preserve"> (3.8.2023). לעניין מועד קיומן של בחירות לרבנים ראשיים חדשים, חוק הרבנות קובע כי אלו ייערכו לא יותר משלושה חדשים, ולא פחות מחודש אחד, לפני תום כהונת הרבנים הראשיים המכהנים אותה שעה (סעיף 16(ג) לחוק). לפיכך, המועד בו אמורות היו להיערך בחירות כאמור היה ט"ז בתמוז </w:t>
      </w:r>
      <w:proofErr w:type="spellStart"/>
      <w:r>
        <w:rPr>
          <w:rtl/>
        </w:rPr>
        <w:t>התשפ"ג</w:t>
      </w:r>
      <w:proofErr w:type="spellEnd"/>
      <w:r>
        <w:rPr>
          <w:rtl/>
        </w:rPr>
        <w:t xml:space="preserve"> (5.7.2023), לכל המאוחר.</w:t>
      </w:r>
    </w:p>
    <w:p w:rsidR="00AD6F0B" w:rsidRDefault="00AD6F0B" w:rsidP="00AD6F0B">
      <w:pPr>
        <w:pStyle w:val="Ruller40"/>
        <w:rPr>
          <w:rtl/>
        </w:rPr>
      </w:pPr>
    </w:p>
    <w:p w:rsidR="00AD6F0B" w:rsidRDefault="00AD6F0B" w:rsidP="00AD6F0B">
      <w:pPr>
        <w:pStyle w:val="Ruller40"/>
        <w:rPr>
          <w:rtl/>
        </w:rPr>
      </w:pPr>
      <w:r>
        <w:rPr>
          <w:rtl/>
        </w:rPr>
        <w:t>2.</w:t>
      </w:r>
      <w:r>
        <w:rPr>
          <w:rtl/>
        </w:rPr>
        <w:tab/>
        <w:t xml:space="preserve">אלא שביום ט"ו בתמוז </w:t>
      </w:r>
      <w:proofErr w:type="spellStart"/>
      <w:r>
        <w:rPr>
          <w:rtl/>
        </w:rPr>
        <w:t>התשפ"ג</w:t>
      </w:r>
      <w:proofErr w:type="spellEnd"/>
      <w:r>
        <w:rPr>
          <w:rtl/>
        </w:rPr>
        <w:t xml:space="preserve"> (4.7.2023) נחקק בכנסת חוק הרבנות הראשית לישראל (הארכת כהונה של הרבנים הראשיים לישראל ושל חברי מועצת הרבנות הראשית לישראל) (הוראת שעה), התשפ"ג-2023 (להלן: </w:t>
      </w:r>
      <w:r>
        <w:rPr>
          <w:rFonts w:ascii="Century" w:hAnsi="Century" w:cs="Miriam"/>
          <w:b/>
          <w:spacing w:val="0"/>
          <w:szCs w:val="24"/>
          <w:rtl/>
        </w:rPr>
        <w:t>חוק הארכת הכהונה 2023</w:t>
      </w:r>
      <w:r>
        <w:rPr>
          <w:rFonts w:ascii="Century" w:hAnsi="Century"/>
          <w:rtl/>
        </w:rPr>
        <w:t>)</w:t>
      </w:r>
      <w:r>
        <w:rPr>
          <w:rtl/>
        </w:rPr>
        <w:t xml:space="preserve">, אשר קבע כי על אף הוראות סעיף 16 לחוק הרבנות, שני הרבנים הראשיים לישראל שכיהנו ערב תחילתו של חוק הארכת הכהונה 2023, יוסיפו לכהן עד יום א' בניסן </w:t>
      </w:r>
      <w:proofErr w:type="spellStart"/>
      <w:r>
        <w:rPr>
          <w:rtl/>
        </w:rPr>
        <w:t>התשפ"ד</w:t>
      </w:r>
      <w:proofErr w:type="spellEnd"/>
      <w:r>
        <w:rPr>
          <w:rtl/>
        </w:rPr>
        <w:t xml:space="preserve"> (9 באפריל 2024). ממילא, המועד האחרון לפי חוק הרבנות לעריכת הבחירות לתפקיד הרבנים הראשיים נדחה ליום א' באדר ב' </w:t>
      </w:r>
      <w:proofErr w:type="spellStart"/>
      <w:r>
        <w:rPr>
          <w:rtl/>
        </w:rPr>
        <w:t>התשפ"ד</w:t>
      </w:r>
      <w:proofErr w:type="spellEnd"/>
      <w:r>
        <w:rPr>
          <w:rtl/>
        </w:rPr>
        <w:t xml:space="preserve"> (11.3.2024).</w:t>
      </w:r>
    </w:p>
    <w:p w:rsidR="00AD6F0B" w:rsidRDefault="00AD6F0B" w:rsidP="00AD6F0B">
      <w:pPr>
        <w:pStyle w:val="Ruller40"/>
        <w:rPr>
          <w:rtl/>
        </w:rPr>
      </w:pPr>
    </w:p>
    <w:p w:rsidR="00AD6F0B" w:rsidRDefault="00AD6F0B" w:rsidP="00AD6F0B">
      <w:pPr>
        <w:pStyle w:val="Ruller40"/>
        <w:rPr>
          <w:rtl/>
        </w:rPr>
      </w:pPr>
      <w:r>
        <w:rPr>
          <w:rtl/>
        </w:rPr>
        <w:t>3.</w:t>
      </w:r>
      <w:r>
        <w:rPr>
          <w:rtl/>
        </w:rPr>
        <w:tab/>
        <w:t xml:space="preserve">ביום ה' באדר א' (14.2.2024) הוארכה כהונת הרבנים הראשיים בשנית, במסגרת חוק הרבנות הראשית לישראל (הארכת כהונה של הרבנים הראשיים לישראל ושל חברי מועצת הרבנות הראשית לישראל) (הוראת שעה)(תיקון), התשפ"ד-2024, וזאת עד ליום כ"ה בסיוון </w:t>
      </w:r>
      <w:proofErr w:type="spellStart"/>
      <w:r>
        <w:rPr>
          <w:rtl/>
        </w:rPr>
        <w:t>התשפ"ד</w:t>
      </w:r>
      <w:proofErr w:type="spellEnd"/>
      <w:r>
        <w:rPr>
          <w:rtl/>
        </w:rPr>
        <w:t xml:space="preserve"> (1.7.2024). כהונת הרבנים הראשיים לא הוארכה שוב. כפועל יוצא, המועד האחרון לקיום הבחירות לרבנים הראשיים חל ביום כ"ה באייר </w:t>
      </w:r>
      <w:proofErr w:type="spellStart"/>
      <w:r>
        <w:rPr>
          <w:rtl/>
        </w:rPr>
        <w:t>התשפ"ד</w:t>
      </w:r>
      <w:proofErr w:type="spellEnd"/>
      <w:r>
        <w:rPr>
          <w:rtl/>
        </w:rPr>
        <w:t xml:space="preserve"> (2.6.2024) (להלן: </w:t>
      </w:r>
      <w:r>
        <w:rPr>
          <w:rFonts w:ascii="Century" w:hAnsi="Century" w:cs="Miriam"/>
          <w:b/>
          <w:spacing w:val="0"/>
          <w:szCs w:val="24"/>
          <w:rtl/>
        </w:rPr>
        <w:t>המועד האחרון לקיום הבחירות על פי החוק</w:t>
      </w:r>
      <w:r>
        <w:rPr>
          <w:rtl/>
        </w:rPr>
        <w:t xml:space="preserve">). </w:t>
      </w:r>
    </w:p>
    <w:p w:rsidR="00AD6F0B" w:rsidRDefault="00AD6F0B" w:rsidP="00AD6F0B">
      <w:pPr>
        <w:pStyle w:val="Ruller40"/>
        <w:rPr>
          <w:rtl/>
        </w:rPr>
      </w:pPr>
    </w:p>
    <w:p w:rsidR="00AD6F0B" w:rsidRDefault="00AD6F0B" w:rsidP="00AD6F0B">
      <w:pPr>
        <w:pStyle w:val="Ruller40"/>
        <w:rPr>
          <w:rtl/>
        </w:rPr>
      </w:pPr>
      <w:r>
        <w:rPr>
          <w:rtl/>
        </w:rPr>
        <w:t>4.</w:t>
      </w:r>
      <w:r>
        <w:rPr>
          <w:rtl/>
        </w:rPr>
        <w:tab/>
        <w:t xml:space="preserve">אולם, הוראות החוק לחוד ומציאות לחוד – בחירות לתפקיד הרבנים הראשיים טרם נערכו, וזאת על אף שחלפו כבר למעלה מחודשיים מהמועד האחרון לעריכתן על-פי חוק.  </w:t>
      </w:r>
    </w:p>
    <w:p w:rsidR="00AD6F0B" w:rsidRDefault="00AD6F0B" w:rsidP="00AD6F0B">
      <w:pPr>
        <w:pStyle w:val="Ruller40"/>
        <w:rPr>
          <w:rtl/>
        </w:rPr>
      </w:pPr>
    </w:p>
    <w:p w:rsidR="00AD6F0B" w:rsidRDefault="00AD6F0B" w:rsidP="00AD6F0B">
      <w:pPr>
        <w:pStyle w:val="Ruller40"/>
        <w:rPr>
          <w:rFonts w:ascii="Century" w:hAnsi="Century" w:cs="Miriam"/>
          <w:b/>
          <w:spacing w:val="0"/>
          <w:szCs w:val="24"/>
          <w:rtl/>
        </w:rPr>
      </w:pPr>
      <w:bookmarkStart w:id="2" w:name="h16"/>
      <w:bookmarkEnd w:id="2"/>
      <w:r>
        <w:rPr>
          <w:rFonts w:ascii="Century" w:hAnsi="Century" w:cs="Miriam"/>
          <w:b/>
          <w:spacing w:val="0"/>
          <w:szCs w:val="24"/>
          <w:rtl/>
        </w:rPr>
        <w:t>העתירות דנן</w:t>
      </w:r>
    </w:p>
    <w:p w:rsidR="00AD6F0B" w:rsidRDefault="00AD6F0B" w:rsidP="00AD6F0B">
      <w:pPr>
        <w:pStyle w:val="Ruller40"/>
        <w:rPr>
          <w:rtl/>
        </w:rPr>
      </w:pPr>
    </w:p>
    <w:p w:rsidR="00AD6F0B" w:rsidRDefault="00AD6F0B" w:rsidP="00AD6F0B">
      <w:pPr>
        <w:pStyle w:val="Ruller40"/>
        <w:rPr>
          <w:rtl/>
        </w:rPr>
      </w:pPr>
      <w:r>
        <w:rPr>
          <w:rtl/>
        </w:rPr>
        <w:t>5.</w:t>
      </w:r>
      <w:r>
        <w:rPr>
          <w:rtl/>
        </w:rPr>
        <w:tab/>
        <w:t>במסגרת העתירות שלפנינו מלינים העותרים על הפרות דין שונות מצד רשויות ואורגנים של המדינה, ומבקשים סעדים שונים, הנוגעים לאי-קיום הבחירות לתפקיד הרבנים הראשיים לישראל, כדלקמן:</w:t>
      </w:r>
    </w:p>
    <w:p w:rsidR="00AD6F0B" w:rsidRDefault="00AD6F0B" w:rsidP="00AD6F0B">
      <w:pPr>
        <w:pStyle w:val="Ruller40"/>
        <w:rPr>
          <w:rtl/>
        </w:rPr>
      </w:pPr>
    </w:p>
    <w:p w:rsidR="00AD6F0B" w:rsidRDefault="00AD6F0B" w:rsidP="00AD6F0B">
      <w:pPr>
        <w:pStyle w:val="Ruller40"/>
        <w:ind w:left="720"/>
        <w:rPr>
          <w:rFonts w:ascii="Century" w:hAnsi="Century"/>
          <w:rtl/>
        </w:rPr>
      </w:pPr>
      <w:r>
        <w:rPr>
          <w:rtl/>
        </w:rPr>
        <w:t>(-)</w:t>
      </w:r>
      <w:r>
        <w:rPr>
          <w:rtl/>
        </w:rPr>
        <w:tab/>
        <w:t xml:space="preserve">העותר </w:t>
      </w:r>
      <w:r>
        <w:rPr>
          <w:rFonts w:ascii="Century" w:hAnsi="Century"/>
          <w:rtl/>
        </w:rPr>
        <w:t>ב</w:t>
      </w:r>
      <w:r>
        <w:rPr>
          <w:rFonts w:ascii="Century" w:hAnsi="Century" w:cs="Miriam"/>
          <w:b/>
          <w:spacing w:val="0"/>
          <w:szCs w:val="24"/>
          <w:rtl/>
        </w:rPr>
        <w:t>בג"ץ 4266/24</w:t>
      </w:r>
      <w:r>
        <w:rPr>
          <w:rtl/>
        </w:rPr>
        <w:t xml:space="preserve"> הוא המרכז לקידום מעמד </w:t>
      </w:r>
      <w:proofErr w:type="spellStart"/>
      <w:r>
        <w:rPr>
          <w:rtl/>
        </w:rPr>
        <w:t>האשה</w:t>
      </w:r>
      <w:proofErr w:type="spellEnd"/>
      <w:r>
        <w:rPr>
          <w:rtl/>
        </w:rPr>
        <w:t xml:space="preserve"> ע"ש רות ועמנואל רקמן באוניברסיטת בר אילן (להלן: </w:t>
      </w:r>
      <w:r>
        <w:rPr>
          <w:rFonts w:ascii="Century" w:hAnsi="Century" w:cs="Miriam"/>
          <w:b/>
          <w:spacing w:val="0"/>
          <w:szCs w:val="24"/>
          <w:rtl/>
        </w:rPr>
        <w:t>המרכז</w:t>
      </w:r>
      <w:r>
        <w:rPr>
          <w:rtl/>
        </w:rPr>
        <w:t xml:space="preserve">), אשר היה גם העותר שהגיש בזמנו את העתירה בבג"ץ 7583/22 </w:t>
      </w:r>
      <w:r>
        <w:rPr>
          <w:rFonts w:ascii="Century" w:hAnsi="Century" w:cs="Miriam"/>
          <w:b/>
          <w:spacing w:val="0"/>
          <w:szCs w:val="24"/>
          <w:rtl/>
        </w:rPr>
        <w:t>המרכז לקידום מעמד האישה ע"ש רות ועמנואל רקמן באוניברסיטת בר-אילן נ' הרבנים הראשיים לישראל</w:t>
      </w:r>
      <w:r>
        <w:rPr>
          <w:rtl/>
        </w:rPr>
        <w:t xml:space="preserve"> (14.1.2024) (להלן: עניין </w:t>
      </w:r>
      <w:r>
        <w:rPr>
          <w:rFonts w:ascii="Century" w:hAnsi="Century" w:cs="Miriam"/>
          <w:b/>
          <w:spacing w:val="0"/>
          <w:szCs w:val="24"/>
          <w:rtl/>
        </w:rPr>
        <w:t>רקמן</w:t>
      </w:r>
      <w:r>
        <w:rPr>
          <w:rtl/>
        </w:rPr>
        <w:t xml:space="preserve">). בעניין </w:t>
      </w:r>
      <w:r>
        <w:rPr>
          <w:rFonts w:ascii="Century" w:hAnsi="Century" w:cs="Miriam"/>
          <w:b/>
          <w:spacing w:val="0"/>
          <w:szCs w:val="24"/>
          <w:rtl/>
        </w:rPr>
        <w:t>רקמן</w:t>
      </w:r>
      <w:r>
        <w:rPr>
          <w:rtl/>
        </w:rPr>
        <w:t xml:space="preserve"> נפסק כי על הרבנים הראשיים לשקול מינוין של נשים בעלות השכלה תורנית והלכתית מתאימה במסגרת עשרת ה"רבנים" שיש למנות, לפי סעיף 7(8) לחוק, לאסיפה הבוחרת את הרבנים הראשיים ואת חברי </w:t>
      </w:r>
      <w:r>
        <w:rPr>
          <w:rtl/>
        </w:rPr>
        <w:lastRenderedPageBreak/>
        <w:t xml:space="preserve">מועצת הרבנות הראשית (להלן: </w:t>
      </w:r>
      <w:r>
        <w:rPr>
          <w:rFonts w:ascii="Century" w:hAnsi="Century" w:cs="Miriam"/>
          <w:b/>
          <w:spacing w:val="0"/>
          <w:szCs w:val="24"/>
          <w:rtl/>
        </w:rPr>
        <w:t>האסיפה הבוחרת</w:t>
      </w:r>
      <w:r>
        <w:rPr>
          <w:rFonts w:ascii="Century" w:hAnsi="Century"/>
          <w:rtl/>
        </w:rPr>
        <w:t>)</w:t>
      </w:r>
      <w:r>
        <w:rPr>
          <w:rtl/>
        </w:rPr>
        <w:t xml:space="preserve">. בהמשך לקביעת בית משפט זה בעניין </w:t>
      </w:r>
      <w:r>
        <w:rPr>
          <w:rFonts w:ascii="Century" w:hAnsi="Century" w:cs="Miriam"/>
          <w:b/>
          <w:spacing w:val="0"/>
          <w:szCs w:val="24"/>
          <w:rtl/>
        </w:rPr>
        <w:t>רקמן</w:t>
      </w:r>
      <w:r>
        <w:rPr>
          <w:rtl/>
        </w:rPr>
        <w:t xml:space="preserve">, בעתירה הנוכחית עותר המרכז לכך שסמכות הרבנים הראשיים לפי סעיף ס' 7(8) תועבר לידי הממשלה, בהתייעצות עם הרשות לקידום מעמד </w:t>
      </w:r>
      <w:proofErr w:type="spellStart"/>
      <w:r>
        <w:rPr>
          <w:rtl/>
        </w:rPr>
        <w:t>האשה</w:t>
      </w:r>
      <w:proofErr w:type="spellEnd"/>
      <w:r>
        <w:rPr>
          <w:rtl/>
        </w:rPr>
        <w:t xml:space="preserve">, או לחלופין לכל גורם מנהלי אחר שיקבע בית המשפט. זאת, לטענתו, נוכח הצהרת הרבנים הראשיים כי אין בכוונתם לקיים את פסק הדין בעניין </w:t>
      </w:r>
      <w:r>
        <w:rPr>
          <w:rFonts w:ascii="Century" w:hAnsi="Century" w:cs="Miriam"/>
          <w:b/>
          <w:spacing w:val="0"/>
          <w:szCs w:val="24"/>
          <w:rtl/>
        </w:rPr>
        <w:t>רקמן</w:t>
      </w:r>
      <w:r>
        <w:rPr>
          <w:rtl/>
        </w:rPr>
        <w:t xml:space="preserve">, ובהמשך, גם לנוכח סירובם של ממלאי מקומם לעניין מינוי רבנים לפי סעיף 7(8) לשקול מינוי נשים כאמור. </w:t>
      </w:r>
      <w:r>
        <w:rPr>
          <w:color w:val="FF0000"/>
          <w:rtl/>
        </w:rPr>
        <w:t xml:space="preserve"> </w:t>
      </w:r>
    </w:p>
    <w:p w:rsidR="00AD6F0B" w:rsidRDefault="00AD6F0B" w:rsidP="00AD6F0B">
      <w:pPr>
        <w:pStyle w:val="Ruller40"/>
        <w:ind w:left="720"/>
        <w:rPr>
          <w:rtl/>
        </w:rPr>
      </w:pPr>
    </w:p>
    <w:p w:rsidR="00AD6F0B" w:rsidRDefault="00AD6F0B" w:rsidP="00AD6F0B">
      <w:pPr>
        <w:pStyle w:val="Ruller40"/>
        <w:ind w:left="720"/>
        <w:rPr>
          <w:rFonts w:ascii="Century" w:hAnsi="Century"/>
          <w:rtl/>
        </w:rPr>
      </w:pPr>
      <w:r>
        <w:rPr>
          <w:rtl/>
        </w:rPr>
        <w:t>(-)</w:t>
      </w:r>
      <w:r>
        <w:rPr>
          <w:rtl/>
        </w:rPr>
        <w:tab/>
        <w:t xml:space="preserve">העותרים </w:t>
      </w:r>
      <w:r>
        <w:rPr>
          <w:rFonts w:ascii="Century" w:hAnsi="Century"/>
          <w:rtl/>
        </w:rPr>
        <w:t>ב</w:t>
      </w:r>
      <w:r>
        <w:rPr>
          <w:rFonts w:ascii="Century" w:hAnsi="Century" w:cs="Miriam"/>
          <w:b/>
          <w:spacing w:val="0"/>
          <w:szCs w:val="24"/>
          <w:rtl/>
        </w:rPr>
        <w:t>בג"ץ 4712/24</w:t>
      </w:r>
      <w:r>
        <w:rPr>
          <w:rtl/>
        </w:rPr>
        <w:t xml:space="preserve"> הם הקליניקות המשפטיות של המרכז האקדמי "שערי מדע ומשפט", ועו"ד הרב ד"ר חיים שיין. בעתירתם מבוקש, בעיקרו של דבר, להביא לקיום בחירות לתפקיד הרבנים הראשיים לישראל בהקדם האפשרי – וזאת גם אם פחת מספר חברי האסיפה הבוחרת, בהתאם לקבוע בסעיף 6(ב) לחוק. </w:t>
      </w:r>
    </w:p>
    <w:p w:rsidR="00AD6F0B" w:rsidRDefault="00AD6F0B" w:rsidP="00AD6F0B">
      <w:pPr>
        <w:pStyle w:val="Ruller40"/>
        <w:ind w:left="720"/>
        <w:rPr>
          <w:rtl/>
        </w:rPr>
      </w:pPr>
    </w:p>
    <w:p w:rsidR="00AD6F0B" w:rsidRDefault="00AD6F0B" w:rsidP="00AD6F0B">
      <w:pPr>
        <w:pStyle w:val="Ruller40"/>
        <w:ind w:left="720"/>
        <w:rPr>
          <w:rFonts w:ascii="Century" w:hAnsi="Century"/>
          <w:rtl/>
        </w:rPr>
      </w:pPr>
      <w:r>
        <w:rPr>
          <w:rtl/>
        </w:rPr>
        <w:t>(-)</w:t>
      </w:r>
      <w:r>
        <w:rPr>
          <w:rtl/>
        </w:rPr>
        <w:tab/>
        <w:t xml:space="preserve">העותרת </w:t>
      </w:r>
      <w:r>
        <w:rPr>
          <w:rFonts w:ascii="Century" w:hAnsi="Century"/>
          <w:rtl/>
        </w:rPr>
        <w:t>ב</w:t>
      </w:r>
      <w:r>
        <w:rPr>
          <w:rFonts w:ascii="Century" w:hAnsi="Century" w:cs="Miriam"/>
          <w:b/>
          <w:spacing w:val="0"/>
          <w:szCs w:val="24"/>
          <w:rtl/>
        </w:rPr>
        <w:t>בג"ץ 4886/24</w:t>
      </w:r>
      <w:r>
        <w:rPr>
          <w:rFonts w:ascii="Century" w:hAnsi="Century"/>
          <w:rtl/>
        </w:rPr>
        <w:t xml:space="preserve"> היא עמותת "עתים – יעוץ ומידע במעגל החיים היהודי". אף עותרת זו מבקשת, בעיקרו של דבר, להביא לקיום בחירות כאמור בהקדם, וזאת, גם אם לא ימונו הנציגים שעל הרבנים הראשיים והשר לשירותי דת למנות לפי החוק לאסיפה הבוחרת.</w:t>
      </w:r>
    </w:p>
    <w:p w:rsidR="00AD6F0B" w:rsidRDefault="00AD6F0B" w:rsidP="00AD6F0B">
      <w:pPr>
        <w:pStyle w:val="Ruller40"/>
        <w:ind w:left="720"/>
        <w:rPr>
          <w:rFonts w:ascii="Century" w:hAnsi="Century"/>
          <w:rtl/>
        </w:rPr>
      </w:pPr>
    </w:p>
    <w:p w:rsidR="00AD6F0B" w:rsidRDefault="00AD6F0B" w:rsidP="00AD6F0B">
      <w:pPr>
        <w:pStyle w:val="Ruller40"/>
        <w:ind w:left="720"/>
        <w:rPr>
          <w:rFonts w:ascii="Century" w:hAnsi="Century"/>
          <w:rtl/>
        </w:rPr>
      </w:pPr>
      <w:r>
        <w:rPr>
          <w:rFonts w:ascii="Century" w:hAnsi="Century"/>
          <w:rtl/>
        </w:rPr>
        <w:t>(-)</w:t>
      </w:r>
      <w:r>
        <w:rPr>
          <w:rFonts w:ascii="Century" w:hAnsi="Century"/>
          <w:rtl/>
        </w:rPr>
        <w:tab/>
        <w:t>העותר ב</w:t>
      </w:r>
      <w:r>
        <w:rPr>
          <w:rFonts w:ascii="Century" w:hAnsi="Century" w:cs="Miriam"/>
          <w:b/>
          <w:spacing w:val="0"/>
          <w:szCs w:val="24"/>
          <w:rtl/>
        </w:rPr>
        <w:t>בג"ץ 5652/24</w:t>
      </w:r>
      <w:r>
        <w:rPr>
          <w:rFonts w:ascii="Century" w:hAnsi="Century"/>
          <w:rtl/>
        </w:rPr>
        <w:t xml:space="preserve"> הוא הרב אליעזר איגרא, דיין בבית הדין הרבני הגדול, אשר משמש החל מיום 2.7.2024 כממלא מקום נשיא בית הדין הרבני הגדול. הרב איגרא מבקש שייקבע כי הוא כשיר להיבחר לתפקיד הרב הראשי לישראל, גם אם הבחירות תתקיימנה לאחר שמלאו לו 70 שנה. יצוין כי יום הולדתו ה-70 של הרב איגרא לפי הלוח העברי צפוי להתקיים ביום י"א באב </w:t>
      </w:r>
      <w:proofErr w:type="spellStart"/>
      <w:r>
        <w:rPr>
          <w:rFonts w:ascii="Century" w:hAnsi="Century"/>
          <w:rtl/>
        </w:rPr>
        <w:t>התשפ"ד</w:t>
      </w:r>
      <w:proofErr w:type="spellEnd"/>
      <w:r>
        <w:rPr>
          <w:rFonts w:ascii="Century" w:hAnsi="Century"/>
          <w:rtl/>
        </w:rPr>
        <w:t xml:space="preserve"> (15.8.2024), ואילו לפי הלוח הלועזי – ביום 9.8.2024.    </w:t>
      </w:r>
    </w:p>
    <w:p w:rsidR="00AD6F0B" w:rsidRDefault="00AD6F0B" w:rsidP="00AD6F0B">
      <w:pPr>
        <w:pStyle w:val="Ruller40"/>
        <w:rPr>
          <w:rtl/>
        </w:rPr>
      </w:pPr>
    </w:p>
    <w:p w:rsidR="00AD6F0B" w:rsidRDefault="00AD6F0B" w:rsidP="00AD6F0B">
      <w:pPr>
        <w:pStyle w:val="Ruller40"/>
        <w:rPr>
          <w:rtl/>
        </w:rPr>
      </w:pPr>
      <w:r>
        <w:rPr>
          <w:rtl/>
        </w:rPr>
        <w:t>6.</w:t>
      </w:r>
      <w:r>
        <w:rPr>
          <w:rtl/>
        </w:rPr>
        <w:tab/>
        <w:t xml:space="preserve"> בתאריך 16.6.2024 ניתן צו על תנאי </w:t>
      </w:r>
      <w:r>
        <w:rPr>
          <w:rFonts w:ascii="Century" w:hAnsi="Century" w:cs="Miriam"/>
          <w:b/>
          <w:spacing w:val="0"/>
          <w:szCs w:val="24"/>
          <w:rtl/>
        </w:rPr>
        <w:t>בבג"ץ 4712/24</w:t>
      </w:r>
      <w:r>
        <w:rPr>
          <w:rtl/>
        </w:rPr>
        <w:t xml:space="preserve"> כמבוקש בעתירה, שהוחל בהחלטה נוספת מאותו יום אף על </w:t>
      </w:r>
      <w:r>
        <w:rPr>
          <w:rFonts w:ascii="Century" w:hAnsi="Century" w:cs="Miriam"/>
          <w:b/>
          <w:spacing w:val="0"/>
          <w:szCs w:val="24"/>
          <w:rtl/>
        </w:rPr>
        <w:t>בג"ץ 4886/24</w:t>
      </w:r>
      <w:r>
        <w:rPr>
          <w:rtl/>
        </w:rPr>
        <w:t xml:space="preserve">. בתאריך 15.7.24 ניתן צו על תנאי </w:t>
      </w:r>
      <w:r>
        <w:rPr>
          <w:rFonts w:ascii="Century" w:hAnsi="Century" w:cs="Miriam"/>
          <w:b/>
          <w:spacing w:val="0"/>
          <w:szCs w:val="24"/>
          <w:rtl/>
        </w:rPr>
        <w:t>בבג"ץ 5652/24</w:t>
      </w:r>
      <w:r>
        <w:rPr>
          <w:rtl/>
        </w:rPr>
        <w:t xml:space="preserve"> כמבוקש בסעיף (ב) לעתירה. באשר לעתירה </w:t>
      </w:r>
      <w:r>
        <w:rPr>
          <w:rFonts w:ascii="Century" w:hAnsi="Century"/>
          <w:rtl/>
        </w:rPr>
        <w:t>ב</w:t>
      </w:r>
      <w:r>
        <w:rPr>
          <w:rFonts w:ascii="Century" w:hAnsi="Century" w:cs="Miriam"/>
          <w:b/>
          <w:spacing w:val="0"/>
          <w:szCs w:val="24"/>
          <w:rtl/>
        </w:rPr>
        <w:t>בג"ץ 4266/24</w:t>
      </w:r>
      <w:r>
        <w:rPr>
          <w:rtl/>
        </w:rPr>
        <w:t xml:space="preserve">, ניתן במהלך הדיון ביום 2.7.2024 צו על תנאי אך ביחס לבקשה להורות למשיבים לנמק מדוע לא יבחנו מינוי נשים לאסיפה הבוחרת בהתאם לאמור בעניין </w:t>
      </w:r>
      <w:r>
        <w:rPr>
          <w:rFonts w:ascii="Century" w:hAnsi="Century" w:cs="Miriam"/>
          <w:b/>
          <w:spacing w:val="0"/>
          <w:szCs w:val="24"/>
          <w:rtl/>
        </w:rPr>
        <w:t>רקמן</w:t>
      </w:r>
      <w:r>
        <w:rPr>
          <w:rtl/>
        </w:rPr>
        <w:t xml:space="preserve">. </w:t>
      </w:r>
    </w:p>
    <w:p w:rsidR="00AD6F0B" w:rsidRDefault="00AD6F0B" w:rsidP="00AD6F0B">
      <w:pPr>
        <w:pStyle w:val="Ruller40"/>
        <w:rPr>
          <w:rtl/>
        </w:rPr>
      </w:pPr>
    </w:p>
    <w:p w:rsidR="00433A60" w:rsidRDefault="00433A60" w:rsidP="00AD6F0B">
      <w:pPr>
        <w:pStyle w:val="Ruller40"/>
        <w:rPr>
          <w:rtl/>
        </w:rPr>
      </w:pPr>
    </w:p>
    <w:p w:rsidR="00AD6F0B" w:rsidRDefault="00AD6F0B" w:rsidP="00AD6F0B">
      <w:pPr>
        <w:pStyle w:val="Ruller40"/>
        <w:rPr>
          <w:rFonts w:ascii="Century" w:hAnsi="Century" w:cs="Miriam"/>
          <w:b/>
          <w:spacing w:val="0"/>
          <w:szCs w:val="24"/>
          <w:rtl/>
        </w:rPr>
      </w:pPr>
      <w:r>
        <w:rPr>
          <w:rFonts w:ascii="Century" w:hAnsi="Century" w:cs="Miriam"/>
          <w:b/>
          <w:spacing w:val="0"/>
          <w:szCs w:val="24"/>
          <w:rtl/>
        </w:rPr>
        <w:lastRenderedPageBreak/>
        <w:t>דיון והכרעה</w:t>
      </w:r>
    </w:p>
    <w:p w:rsidR="00AD6F0B" w:rsidRDefault="00AD6F0B" w:rsidP="00AD6F0B">
      <w:pPr>
        <w:pStyle w:val="Ruller40"/>
        <w:rPr>
          <w:rtl/>
        </w:rPr>
      </w:pPr>
    </w:p>
    <w:p w:rsidR="00AD6F0B" w:rsidRDefault="00AD6F0B" w:rsidP="00AD6F0B">
      <w:pPr>
        <w:pStyle w:val="Ruller4"/>
        <w:numPr>
          <w:ilvl w:val="0"/>
          <w:numId w:val="0"/>
        </w:numPr>
        <w:rPr>
          <w:rtl/>
        </w:rPr>
      </w:pPr>
      <w:r>
        <w:rPr>
          <w:rtl/>
        </w:rPr>
        <w:t xml:space="preserve">7. </w:t>
      </w:r>
      <w:r>
        <w:rPr>
          <w:rtl/>
        </w:rPr>
        <w:tab/>
        <w:t>מכתבי הטענות שהוגשו לנו והדיונים שהתקיימו לפנינו, ובכלל זה הודעת העדכון מטעם המדינה מיום 1.8.2024, עולה כי בין העותרים ובין משיבי המדינה אין חילוקי דעות מהותיים ביחס למצב המשפטי, כמפורט להלן:</w:t>
      </w:r>
    </w:p>
    <w:p w:rsidR="00AD6F0B" w:rsidRDefault="00AD6F0B" w:rsidP="00AD6F0B">
      <w:pPr>
        <w:pStyle w:val="Ruller40"/>
        <w:rPr>
          <w:rtl/>
        </w:rPr>
      </w:pPr>
    </w:p>
    <w:p w:rsidR="00AD6F0B" w:rsidRDefault="00AD6F0B" w:rsidP="00AD6F0B">
      <w:pPr>
        <w:pStyle w:val="Ruller40"/>
        <w:numPr>
          <w:ilvl w:val="0"/>
          <w:numId w:val="12"/>
        </w:numPr>
        <w:rPr>
          <w:rtl/>
        </w:rPr>
      </w:pPr>
      <w:r>
        <w:rPr>
          <w:rtl/>
        </w:rPr>
        <w:t>על פי סעיף 16(ג) לחוק הרבנות נדרש היה לקיים את הבחירות לתפקיד הרבנים הראשיים עד ליום 2.6.2024. חובה זו לא קוימה במועדה, ויש לקיימה בהקדם האפשרי.</w:t>
      </w:r>
    </w:p>
    <w:p w:rsidR="00AD6F0B" w:rsidRDefault="00AD6F0B" w:rsidP="00AD6F0B">
      <w:pPr>
        <w:pStyle w:val="Ruller40"/>
        <w:ind w:left="720"/>
      </w:pPr>
    </w:p>
    <w:p w:rsidR="00AD6F0B" w:rsidRDefault="00AD6F0B" w:rsidP="00AD6F0B">
      <w:pPr>
        <w:pStyle w:val="Ruller40"/>
        <w:numPr>
          <w:ilvl w:val="0"/>
          <w:numId w:val="12"/>
        </w:numPr>
      </w:pPr>
      <w:r>
        <w:rPr>
          <w:rtl/>
        </w:rPr>
        <w:t xml:space="preserve">לעת הזו הושלם מינוי חברי האסיפה הבוחרת, למעט מינוי 10 חברים על פי סעיף 7(8) לחוק (להלן: </w:t>
      </w:r>
      <w:r>
        <w:rPr>
          <w:rFonts w:ascii="Century" w:hAnsi="Century" w:cs="Miriam"/>
          <w:b/>
          <w:spacing w:val="0"/>
          <w:szCs w:val="24"/>
          <w:rtl/>
        </w:rPr>
        <w:t>המינויים החסרים</w:t>
      </w:r>
      <w:r>
        <w:rPr>
          <w:rtl/>
        </w:rPr>
        <w:t>).</w:t>
      </w:r>
    </w:p>
    <w:p w:rsidR="00AD6F0B" w:rsidRDefault="00AD6F0B" w:rsidP="00AD6F0B">
      <w:pPr>
        <w:pStyle w:val="affffd"/>
        <w:bidi w:val="0"/>
      </w:pPr>
    </w:p>
    <w:p w:rsidR="00AD6F0B" w:rsidRDefault="00AD6F0B" w:rsidP="00AD6F0B">
      <w:pPr>
        <w:pStyle w:val="Ruller40"/>
        <w:numPr>
          <w:ilvl w:val="0"/>
          <w:numId w:val="12"/>
        </w:numPr>
        <w:rPr>
          <w:rtl/>
        </w:rPr>
      </w:pPr>
      <w:r>
        <w:rPr>
          <w:rtl/>
        </w:rPr>
        <w:t xml:space="preserve">המינויים החסרים צריכים להתבצע על ידי ממלאי המקום שמונו לעניין זה (כבוד הרב </w:t>
      </w:r>
      <w:r>
        <w:rPr>
          <w:rFonts w:ascii="Century" w:hAnsi="Century" w:cs="Miriam"/>
          <w:b/>
          <w:spacing w:val="0"/>
          <w:szCs w:val="24"/>
          <w:rtl/>
        </w:rPr>
        <w:t xml:space="preserve">אליעזר שמחה וייס </w:t>
      </w:r>
      <w:r>
        <w:rPr>
          <w:rtl/>
        </w:rPr>
        <w:t xml:space="preserve">וכבוד הדיין הרב </w:t>
      </w:r>
      <w:r>
        <w:rPr>
          <w:rFonts w:ascii="Century" w:hAnsi="Century" w:cs="Miriam"/>
          <w:b/>
          <w:spacing w:val="0"/>
          <w:szCs w:val="24"/>
          <w:rtl/>
        </w:rPr>
        <w:t>שלמה שפירא</w:t>
      </w:r>
      <w:r>
        <w:rPr>
          <w:rtl/>
        </w:rPr>
        <w:t xml:space="preserve">. להלן: </w:t>
      </w:r>
      <w:r>
        <w:rPr>
          <w:rFonts w:ascii="Century" w:hAnsi="Century" w:cs="Miriam"/>
          <w:b/>
          <w:spacing w:val="0"/>
          <w:szCs w:val="24"/>
          <w:rtl/>
        </w:rPr>
        <w:t>הגורמים הממנים</w:t>
      </w:r>
      <w:r>
        <w:rPr>
          <w:rtl/>
        </w:rPr>
        <w:t xml:space="preserve">), בהתאם לפרוצדורה שנקבעה בסעיף 7(8) לחוק, ובכפוף להנחיות שניתנו לעניין זה בפסק הדין בעניין </w:t>
      </w:r>
      <w:r>
        <w:rPr>
          <w:rFonts w:ascii="Century" w:hAnsi="Century" w:cs="Miriam"/>
          <w:b/>
          <w:spacing w:val="0"/>
          <w:szCs w:val="24"/>
          <w:rtl/>
        </w:rPr>
        <w:t>רקמן</w:t>
      </w:r>
      <w:r>
        <w:rPr>
          <w:rtl/>
        </w:rPr>
        <w:t>.</w:t>
      </w:r>
    </w:p>
    <w:p w:rsidR="00AD6F0B" w:rsidRDefault="00AD6F0B" w:rsidP="00AD6F0B">
      <w:pPr>
        <w:pStyle w:val="affffd"/>
        <w:bidi w:val="0"/>
      </w:pPr>
    </w:p>
    <w:p w:rsidR="00AD6F0B" w:rsidRDefault="00AD6F0B" w:rsidP="00AD6F0B">
      <w:pPr>
        <w:pStyle w:val="Ruller40"/>
        <w:numPr>
          <w:ilvl w:val="0"/>
          <w:numId w:val="12"/>
        </w:numPr>
        <w:rPr>
          <w:rtl/>
        </w:rPr>
      </w:pPr>
      <w:r>
        <w:rPr>
          <w:rtl/>
        </w:rPr>
        <w:t xml:space="preserve">בהינתן שהבחירות לא התקיימו בטווח המועדים שנקבע בחוק (ראו סעיף 16(ג) לחוק), ראוי לאפשר למי שמבחינת גילו עמד בתנאי הכשירות להיבחר כרב ראשי (ראו סעיף 5(א) לחוק. להלן: </w:t>
      </w:r>
      <w:r>
        <w:rPr>
          <w:rFonts w:ascii="Century" w:hAnsi="Century" w:cs="Miriam"/>
          <w:b/>
          <w:spacing w:val="0"/>
          <w:szCs w:val="24"/>
          <w:rtl/>
        </w:rPr>
        <w:t>תנאי הגיל</w:t>
      </w:r>
      <w:r>
        <w:rPr>
          <w:rtl/>
        </w:rPr>
        <w:t>) במועד האחרון לקיום הבחירות על פי החוק – להתמודד בהן גם במועד נדחה סמוך.</w:t>
      </w:r>
    </w:p>
    <w:p w:rsidR="00AD6F0B" w:rsidRDefault="00AD6F0B" w:rsidP="00AD6F0B">
      <w:pPr>
        <w:pStyle w:val="Ruller40"/>
        <w:ind w:left="720"/>
      </w:pPr>
    </w:p>
    <w:p w:rsidR="00AD6F0B" w:rsidRDefault="00AD6F0B" w:rsidP="00AD6F0B">
      <w:pPr>
        <w:pStyle w:val="Ruller40"/>
        <w:ind w:left="720"/>
        <w:rPr>
          <w:rtl/>
        </w:rPr>
      </w:pPr>
      <w:r>
        <w:rPr>
          <w:rtl/>
        </w:rPr>
        <w:tab/>
      </w:r>
      <w:r>
        <w:rPr>
          <w:rtl/>
        </w:rPr>
        <w:tab/>
        <w:t xml:space="preserve">לדידנו, הטעם העיקרי לנקודה אחרונה זו נעוץ בכך שתנאי הגיל נקבעו בחוק תחת ההנחה שהבחירות יתקיימו לא יאוחר מהמועד האחרון לקיום בחירות על פי החוק. בהינתן שכך, אין לאפשר מצב שבו הפרת הוראות החוק – בדרך של אי-קיום הבחירות במועדן הקבוע בדין –  תביא לפגיעה בזכות ההתמודדות של מי שעמד בתנאי הגיל במועד שקבע המחוקק. נקודה זו ניתנת לביסוס, כך אנו סבורים, על עקרונות משפטיים כלליים, המונעים שלילת זכות מאדם בשל אי עמידה בדרישה הנוגעת למועד, כאשר הדבר נובע כל כולו בשל פגם שנפל בהתנהלות הרשות [זאת, בדומה לאופן בו היינו למשל נוהגים במקרה ההיפותטי הבא: נניח, שפקיד משרד הפנים דחה שלא כדין בקשה לקבל אזרחות ישראלית שהוגשה בשם בנו הקטין של מתאזרח לפי חוק האזרחות, התשי"ב-1952 (להלן: </w:t>
      </w:r>
      <w:r>
        <w:rPr>
          <w:rFonts w:ascii="Century" w:hAnsi="Century" w:cs="Miriam"/>
          <w:b/>
          <w:spacing w:val="0"/>
          <w:szCs w:val="24"/>
          <w:rtl/>
        </w:rPr>
        <w:lastRenderedPageBreak/>
        <w:t>חוק האזרחות</w:t>
      </w:r>
      <w:r>
        <w:rPr>
          <w:rtl/>
        </w:rPr>
        <w:t>). מדובר בהפרה של סעיף 8(א) לחוק האזרחות, אשר קובע כי "</w:t>
      </w:r>
      <w:r>
        <w:rPr>
          <w:rFonts w:ascii="Century" w:hAnsi="Century" w:cs="Miriam"/>
          <w:b/>
          <w:spacing w:val="0"/>
          <w:szCs w:val="24"/>
          <w:rtl/>
        </w:rPr>
        <w:t>התאזרחותו של אדם מקנה אזרחות גם לילדו הקטין שביום ההתאזרחות היה תושב ישראל</w:t>
      </w:r>
      <w:r>
        <w:rPr>
          <w:rtl/>
        </w:rPr>
        <w:t xml:space="preserve">" (בהנחה שהקטין עומד ביתר הדרישות הקבועות בסעיף 8 לחוק האזרחות). כעת, הבה נניח שהפרת הדין מצד הפקיד כאמור נמשכה עד למועד שבו הקטין חגג את יום הולדתו ה-18 והפך לבגיר. הקטין שהפך לבגיר, מגיש עתירה </w:t>
      </w:r>
      <w:proofErr w:type="spellStart"/>
      <w:r>
        <w:rPr>
          <w:rtl/>
        </w:rPr>
        <w:t>מינהלית</w:t>
      </w:r>
      <w:proofErr w:type="spellEnd"/>
      <w:r>
        <w:rPr>
          <w:rtl/>
        </w:rPr>
        <w:t xml:space="preserve"> לבית המשפט המחוזי בדרישה לקבוע כי הוא זכאי לקבל אזרחות ישראלית מכוח סעיף 8(א) לחוק האזרחות. לדעתנו, במקרה כזה אין ספק שבית המשפט יהיה חייב לתקן את הפרת זכותו של "הקטין לשעבר" על ידי מתן סעד אשר מכיר בזכאותו לקבל אזרחות ישראלית מתוקף היותו "ילדו הקטין" של המתאזרח כאמור (על אף שהוא אינו קטין עוד)]. אנו סבורים אפוא שיש בסמכותנו להורות על מתן אפשרות לרב איגרא (ולאחרים במצבו), להתמודד בבחירות בנסיבות יוצאות הדופן שבענייננו, זאת, גם בהתאם לעיקרון "מקום שיש זכות – יש תרופה" (ראו: רע"א 6339/97 </w:t>
      </w:r>
      <w:r>
        <w:rPr>
          <w:rFonts w:ascii="Century" w:hAnsi="Century" w:cs="Miriam"/>
          <w:b/>
          <w:spacing w:val="0"/>
          <w:szCs w:val="24"/>
          <w:rtl/>
        </w:rPr>
        <w:t>רוקר נ' סלומון</w:t>
      </w:r>
      <w:r>
        <w:rPr>
          <w:rtl/>
        </w:rPr>
        <w:t xml:space="preserve">, פ"ד נ"ה (1) 199, פסקאות 19-21 לפסק דינו של השופט מ' חשין (1999)), ולמצער מכוח סעיף 15(ג) לחוק יסוד: השפיטה, על מנת שלא ייגרם לו – ולציבור המעוניין בהתמודדותו – עוול. </w:t>
      </w:r>
    </w:p>
    <w:p w:rsidR="00AD6F0B" w:rsidRDefault="00AD6F0B" w:rsidP="00AD6F0B">
      <w:pPr>
        <w:pStyle w:val="Ruller40"/>
        <w:ind w:left="720"/>
        <w:rPr>
          <w:rtl/>
        </w:rPr>
      </w:pPr>
    </w:p>
    <w:p w:rsidR="00AD6F0B" w:rsidRDefault="00AD6F0B" w:rsidP="00AD6F0B">
      <w:pPr>
        <w:pStyle w:val="Ruller40"/>
        <w:rPr>
          <w:rtl/>
        </w:rPr>
      </w:pPr>
      <w:r>
        <w:rPr>
          <w:rtl/>
        </w:rPr>
        <w:t xml:space="preserve">8. </w:t>
      </w:r>
      <w:r>
        <w:rPr>
          <w:rtl/>
        </w:rPr>
        <w:tab/>
        <w:t xml:space="preserve">לנוכח המצב המשפטי האמור, ניתן בזאת צו (להלן: </w:t>
      </w:r>
      <w:r>
        <w:rPr>
          <w:rFonts w:ascii="Century" w:hAnsi="Century" w:cs="Miriam"/>
          <w:b/>
          <w:spacing w:val="0"/>
          <w:szCs w:val="24"/>
          <w:rtl/>
        </w:rPr>
        <w:t>הצו</w:t>
      </w:r>
      <w:r>
        <w:rPr>
          <w:rtl/>
        </w:rPr>
        <w:t>) המורה כדלהלן:</w:t>
      </w:r>
    </w:p>
    <w:p w:rsidR="00AD6F0B" w:rsidRDefault="00AD6F0B" w:rsidP="00AD6F0B">
      <w:pPr>
        <w:pStyle w:val="Ruller40"/>
        <w:rPr>
          <w:rtl/>
        </w:rPr>
      </w:pPr>
    </w:p>
    <w:p w:rsidR="00AD6F0B" w:rsidRDefault="00AD6F0B" w:rsidP="00AD6F0B">
      <w:pPr>
        <w:pStyle w:val="Ruller40"/>
        <w:numPr>
          <w:ilvl w:val="0"/>
          <w:numId w:val="13"/>
        </w:numPr>
        <w:rPr>
          <w:rtl/>
        </w:rPr>
      </w:pPr>
      <w:r>
        <w:rPr>
          <w:rtl/>
        </w:rPr>
        <w:t xml:space="preserve">ועדת הבחירות שהוקמה לפי סעיף 11 לחוק (להלן: </w:t>
      </w:r>
      <w:r>
        <w:rPr>
          <w:rFonts w:ascii="Century" w:hAnsi="Century" w:cs="Miriam"/>
          <w:b/>
          <w:spacing w:val="0"/>
          <w:szCs w:val="24"/>
          <w:rtl/>
        </w:rPr>
        <w:t>ועדת הבחירות</w:t>
      </w:r>
      <w:r>
        <w:rPr>
          <w:rFonts w:ascii="Century" w:hAnsi="Century"/>
          <w:rtl/>
        </w:rPr>
        <w:t>)</w:t>
      </w:r>
      <w:r>
        <w:rPr>
          <w:rtl/>
        </w:rPr>
        <w:t xml:space="preserve"> תקבע מועד לקיום הבחירות לתפקיד הרבנים הראשיים שלא יהיה מאוחר מיום 30.9.2024, ותפרסמו בהתאם להוראת סעיף 12(א) לחוק.</w:t>
      </w:r>
    </w:p>
    <w:p w:rsidR="00AD6F0B" w:rsidRDefault="00AD6F0B" w:rsidP="00AD6F0B">
      <w:pPr>
        <w:pStyle w:val="Ruller40"/>
        <w:ind w:left="720"/>
      </w:pPr>
    </w:p>
    <w:p w:rsidR="00AD6F0B" w:rsidRDefault="00AD6F0B" w:rsidP="00AD6F0B">
      <w:pPr>
        <w:pStyle w:val="Ruller40"/>
        <w:numPr>
          <w:ilvl w:val="0"/>
          <w:numId w:val="13"/>
        </w:numPr>
      </w:pPr>
      <w:r>
        <w:rPr>
          <w:rtl/>
        </w:rPr>
        <w:t xml:space="preserve">ועדת הבחירות תפרסם את רשימת חברי האסיפה הבוחרת לא יאוחר מ-21 יום לפני מועד הבחירות שייקבע, בהתאם להוראת סעיף 13 לחוק (להלן: </w:t>
      </w:r>
      <w:r>
        <w:rPr>
          <w:rFonts w:ascii="Century" w:hAnsi="Century" w:cs="Miriam"/>
          <w:b/>
          <w:spacing w:val="0"/>
          <w:szCs w:val="24"/>
          <w:rtl/>
        </w:rPr>
        <w:t>מועד הפרסום של חברי האסיפה</w:t>
      </w:r>
      <w:r>
        <w:rPr>
          <w:rtl/>
        </w:rPr>
        <w:t>).</w:t>
      </w:r>
    </w:p>
    <w:p w:rsidR="00AD6F0B" w:rsidRDefault="00AD6F0B" w:rsidP="00AD6F0B">
      <w:pPr>
        <w:pStyle w:val="Ruller40"/>
        <w:ind w:left="720"/>
      </w:pPr>
    </w:p>
    <w:p w:rsidR="00AD6F0B" w:rsidRDefault="00AD6F0B" w:rsidP="00AD6F0B">
      <w:pPr>
        <w:pStyle w:val="Ruller40"/>
        <w:numPr>
          <w:ilvl w:val="0"/>
          <w:numId w:val="13"/>
        </w:numPr>
      </w:pPr>
      <w:r>
        <w:rPr>
          <w:rtl/>
        </w:rPr>
        <w:t xml:space="preserve">על הגורמים הממנים להשלים את המינויים החסרים עד למועד הפרסום של חברי האסיפה, וזאת בהתאם להוראת סעיף 7(8) לחוק, כפי שזו פורשה בפסק הדין בעניין </w:t>
      </w:r>
      <w:r>
        <w:rPr>
          <w:rFonts w:ascii="Century" w:hAnsi="Century" w:cs="Miriam"/>
          <w:b/>
          <w:spacing w:val="0"/>
          <w:szCs w:val="24"/>
          <w:rtl/>
        </w:rPr>
        <w:t>רקמן</w:t>
      </w:r>
      <w:r>
        <w:rPr>
          <w:rtl/>
        </w:rPr>
        <w:t>.</w:t>
      </w:r>
    </w:p>
    <w:p w:rsidR="00AD6F0B" w:rsidRDefault="00AD6F0B" w:rsidP="00AD6F0B">
      <w:pPr>
        <w:pStyle w:val="Ruller40"/>
        <w:ind w:left="720"/>
      </w:pPr>
    </w:p>
    <w:p w:rsidR="00AD6F0B" w:rsidRDefault="00AD6F0B" w:rsidP="00AD6F0B">
      <w:pPr>
        <w:pStyle w:val="Ruller40"/>
        <w:numPr>
          <w:ilvl w:val="0"/>
          <w:numId w:val="13"/>
        </w:numPr>
      </w:pPr>
      <w:r>
        <w:rPr>
          <w:rtl/>
        </w:rPr>
        <w:lastRenderedPageBreak/>
        <w:t>מובהר בזאת, כי אדם שעמד מבחינת גילו בתנאים להתמודד במועד האחרון לקיום הבחירות על פי חוק (דהיינו ב-2.6.2024), יהיה רשאי להתמודד בבחירות גם במועד הנדחה שייקבע בהתאם לאמור לעיל בסעיף א' לצו.</w:t>
      </w:r>
    </w:p>
    <w:p w:rsidR="00AD6F0B" w:rsidRDefault="00AD6F0B" w:rsidP="00AD6F0B">
      <w:pPr>
        <w:pStyle w:val="Ruller40"/>
        <w:ind w:left="720"/>
      </w:pPr>
    </w:p>
    <w:p w:rsidR="00AD6F0B" w:rsidRDefault="00AD6F0B" w:rsidP="00AD6F0B">
      <w:pPr>
        <w:pStyle w:val="Ruller4"/>
        <w:numPr>
          <w:ilvl w:val="0"/>
          <w:numId w:val="0"/>
        </w:numPr>
        <w:rPr>
          <w:rtl/>
        </w:rPr>
      </w:pPr>
      <w:r>
        <w:rPr>
          <w:rtl/>
        </w:rPr>
        <w:t>9.</w:t>
      </w:r>
      <w:r>
        <w:rPr>
          <w:rtl/>
        </w:rPr>
        <w:tab/>
        <w:t xml:space="preserve">למען הסר ספק – ואף שחזקה על הגורמים הממנים, הפועלים לעניין זה </w:t>
      </w:r>
      <w:proofErr w:type="spellStart"/>
      <w:r>
        <w:rPr>
          <w:rtl/>
        </w:rPr>
        <w:t>כממלאי</w:t>
      </w:r>
      <w:proofErr w:type="spellEnd"/>
      <w:r>
        <w:rPr>
          <w:rtl/>
        </w:rPr>
        <w:t xml:space="preserve"> תפקיד </w:t>
      </w:r>
      <w:r w:rsidR="00B327C4">
        <w:rPr>
          <w:rFonts w:hint="cs"/>
          <w:rtl/>
        </w:rPr>
        <w:t xml:space="preserve">ציבורי </w:t>
      </w:r>
      <w:r>
        <w:rPr>
          <w:rtl/>
        </w:rPr>
        <w:t xml:space="preserve">על פי חוק, כי יפעלו על פי הדין, ובכלל זה פסיקת בית משפט זה – מובהר בזאת כי פרסום רשימת חברי האסיפה הבוחרת וקיום הבחירות לתפקיד הרבנים הראשיים, לפי סעיפים א' ו-ב' לצו, כאמור לעיל, אינם מותנים בביצוע סעיף ג' לצו, כך שגם אם לא יושלמו המינויים החסרים במועד, יושלם הליך בחירת הרבנים הראשיים כסדרו בהתאם להוראות הצו שניתנו לעניין זה. </w:t>
      </w:r>
    </w:p>
    <w:p w:rsidR="00AD6F0B" w:rsidRDefault="00AD6F0B" w:rsidP="00AD6F0B">
      <w:pPr>
        <w:pStyle w:val="Ruller4"/>
        <w:numPr>
          <w:ilvl w:val="0"/>
          <w:numId w:val="0"/>
        </w:numPr>
        <w:rPr>
          <w:rtl/>
        </w:rPr>
      </w:pPr>
    </w:p>
    <w:p w:rsidR="00AD6F0B" w:rsidRDefault="00AD6F0B" w:rsidP="00AD6F0B">
      <w:pPr>
        <w:pStyle w:val="Ruller4"/>
        <w:numPr>
          <w:ilvl w:val="0"/>
          <w:numId w:val="0"/>
        </w:numPr>
        <w:rPr>
          <w:rtl/>
        </w:rPr>
      </w:pPr>
      <w:r>
        <w:rPr>
          <w:rtl/>
        </w:rPr>
        <w:tab/>
        <w:t xml:space="preserve">ניתוק הקשר בין ההוראות הללו, באופן שביצוע האחת (בחירת הרבנים הראשיים) לא יהיה מותנה בביצוע האחרת (השלמת המינויים החסרים), נובע מהטעמים המצטברים הבאים: </w:t>
      </w:r>
    </w:p>
    <w:p w:rsidR="00AD6F0B" w:rsidRDefault="00AD6F0B" w:rsidP="00AD6F0B">
      <w:pPr>
        <w:pStyle w:val="Ruller4"/>
        <w:numPr>
          <w:ilvl w:val="0"/>
          <w:numId w:val="0"/>
        </w:numPr>
        <w:rPr>
          <w:rtl/>
        </w:rPr>
      </w:pPr>
    </w:p>
    <w:p w:rsidR="00AD6F0B" w:rsidRDefault="00AD6F0B" w:rsidP="00AD6F0B">
      <w:pPr>
        <w:pStyle w:val="Ruller4"/>
        <w:numPr>
          <w:ilvl w:val="0"/>
          <w:numId w:val="0"/>
        </w:numPr>
        <w:rPr>
          <w:rFonts w:ascii="Century" w:hAnsi="Century" w:cs="Miriam"/>
          <w:b/>
          <w:spacing w:val="0"/>
          <w:sz w:val="22"/>
          <w:szCs w:val="24"/>
          <w:rtl/>
        </w:rPr>
      </w:pPr>
      <w:r>
        <w:rPr>
          <w:rtl/>
        </w:rPr>
        <w:tab/>
      </w:r>
      <w:r>
        <w:rPr>
          <w:rFonts w:ascii="Century" w:hAnsi="Century" w:cs="Miriam"/>
          <w:b/>
          <w:spacing w:val="0"/>
          <w:sz w:val="22"/>
          <w:szCs w:val="24"/>
          <w:rtl/>
        </w:rPr>
        <w:t>ראשית</w:t>
      </w:r>
      <w:r>
        <w:rPr>
          <w:rtl/>
        </w:rPr>
        <w:t xml:space="preserve">, גם אם תיסתר חס וחלילה החזקה כי הגורמים הממנים יפעלו על-פי הדין, כאמור, הרי שאין לאפשר מצב שבו אי-קיום מצוות החוק לעניין מינוי מקצת מחברי גוף בוחר (עשרה מתוך מאה וחמישים, שהם 6.66%) על ידי הגורם המוסמך לעשות זאת, תאפשר לו למנוע את כינוס הגוף הבוחר. עוד נוסיף כי מצב זה בו בידיו של גורם ממנה למנוע כינוס גוף בוחר – וממילא למנוע את קיומן של בחירות – עלול להוביל, הלכה למעשה, לשימוש לרעה בסמכות האמורה. התוצאה הראויה אפוא של הימנעות גורמים מוסמכים מלבצע את חובתם, איננה טעינת ידיהם בכוח נוסף, אלא דווקא הקפאת כוח המינוי הנתון להם עד </w:t>
      </w:r>
      <w:r w:rsidR="00B327C4">
        <w:rPr>
          <w:rtl/>
        </w:rPr>
        <w:t>שיחזרו בהם מסירובם להפעילו כדין</w:t>
      </w:r>
      <w:r w:rsidR="00B327C4">
        <w:rPr>
          <w:rFonts w:hint="cs"/>
          <w:rtl/>
        </w:rPr>
        <w:t>.</w:t>
      </w:r>
      <w:r>
        <w:rPr>
          <w:rtl/>
        </w:rPr>
        <w:t xml:space="preserve"> </w:t>
      </w:r>
    </w:p>
    <w:p w:rsidR="00AD6F0B" w:rsidRDefault="00AD6F0B" w:rsidP="00AD6F0B">
      <w:pPr>
        <w:pStyle w:val="Ruller4"/>
        <w:numPr>
          <w:ilvl w:val="0"/>
          <w:numId w:val="0"/>
        </w:numPr>
        <w:rPr>
          <w:rFonts w:ascii="Century" w:hAnsi="Century" w:cs="Miriam"/>
          <w:b/>
          <w:spacing w:val="0"/>
          <w:sz w:val="22"/>
          <w:szCs w:val="24"/>
          <w:rtl/>
        </w:rPr>
      </w:pPr>
    </w:p>
    <w:p w:rsidR="00AD6F0B" w:rsidRDefault="00AD6F0B" w:rsidP="00AD6F0B">
      <w:pPr>
        <w:pStyle w:val="Ruller4"/>
        <w:numPr>
          <w:ilvl w:val="0"/>
          <w:numId w:val="0"/>
        </w:numPr>
        <w:rPr>
          <w:rtl/>
        </w:rPr>
      </w:pPr>
      <w:r>
        <w:rPr>
          <w:rFonts w:ascii="Century" w:hAnsi="Century" w:cs="Miriam"/>
          <w:b/>
          <w:spacing w:val="0"/>
          <w:sz w:val="22"/>
          <w:szCs w:val="24"/>
          <w:rtl/>
        </w:rPr>
        <w:tab/>
        <w:t>שנית</w:t>
      </w:r>
      <w:r>
        <w:rPr>
          <w:rtl/>
        </w:rPr>
        <w:t xml:space="preserve">, כל עוד לא מושלמים המינויים החסרים, נמצאים אנו במצב של בחירה בין שתי רעות: אי-קיום בחירות לתפקיד הרבנים ראשיים תוך הפרה מתמשכת של </w:t>
      </w:r>
      <w:r>
        <w:rPr>
          <w:rFonts w:ascii="Century" w:hAnsi="Century"/>
          <w:b/>
          <w:spacing w:val="0"/>
          <w:sz w:val="22"/>
          <w:rtl/>
        </w:rPr>
        <w:t>מצוות המחוקק</w:t>
      </w:r>
      <w:r>
        <w:rPr>
          <w:rtl/>
        </w:rPr>
        <w:t xml:space="preserve">, או הפרת מצוות הדין לעניין המינויים החסרים. במצב דברים זה, ובשים לב לנסיבות הייחודיות שנוצרו בענייננו, ובכלל זה התמשכות הזמנים, הרעה הראשונה חמורה מהרעה השנייה, ולא ניתן להסכין לה; נציין עוד כי שקלנו אף את האפשרות להורות על נטילת סמכות הגורמים הממונים על ידי השר הממונה על ביצוע החוק או הממשלה, וזאת בהתאם להוראות חוק יסוד: הממשלה, ואולם הגענו למסקנה כי גם אם אפשרות זו קיימת (ובהינתן עמדת היועצת המשפטית לממשלה, אשר שללה היתכנות </w:t>
      </w:r>
      <w:r>
        <w:rPr>
          <w:rtl/>
        </w:rPr>
        <w:lastRenderedPageBreak/>
        <w:t xml:space="preserve">חלופה זו, מצאנו לנכון שלא לטעת מסמרות בסוגיה נכבדה זו), הרי שבמקרה דנן היא מבטאת מידה רבה יותר של התערבות שיפוטית, ועל כן מוטב להימנע ממנה. </w:t>
      </w:r>
    </w:p>
    <w:p w:rsidR="00AD6F0B" w:rsidRDefault="00AD6F0B" w:rsidP="00AD6F0B">
      <w:pPr>
        <w:pStyle w:val="Ruller4"/>
        <w:numPr>
          <w:ilvl w:val="0"/>
          <w:numId w:val="0"/>
        </w:numPr>
        <w:rPr>
          <w:rFonts w:ascii="Century" w:hAnsi="Century" w:cs="Miriam"/>
          <w:b/>
          <w:spacing w:val="0"/>
          <w:sz w:val="22"/>
          <w:szCs w:val="24"/>
          <w:rtl/>
        </w:rPr>
      </w:pPr>
    </w:p>
    <w:p w:rsidR="000B503B" w:rsidRDefault="00AD6F0B" w:rsidP="00AD6F0B">
      <w:pPr>
        <w:pStyle w:val="Ruller4"/>
        <w:numPr>
          <w:ilvl w:val="0"/>
          <w:numId w:val="0"/>
        </w:numPr>
        <w:rPr>
          <w:rtl/>
        </w:rPr>
      </w:pPr>
      <w:r>
        <w:rPr>
          <w:rFonts w:ascii="Century" w:hAnsi="Century" w:cs="Miriam"/>
          <w:b/>
          <w:spacing w:val="0"/>
          <w:sz w:val="22"/>
          <w:szCs w:val="24"/>
          <w:rtl/>
        </w:rPr>
        <w:tab/>
        <w:t>שלישית</w:t>
      </w:r>
      <w:r>
        <w:rPr>
          <w:rtl/>
        </w:rPr>
        <w:t xml:space="preserve">, המחוקק שיקף בחוק את עמדתו כי מבחינה מהותית אין פסול בביצוע הליך בחירה על ידי אסיפה חסרה, ובלבד שמספר חבריה לא פחת מ-80. כך, סעיף 6(ב) לחוק מורה כי </w:t>
      </w:r>
      <w:r>
        <w:rPr>
          <w:rFonts w:ascii="Century" w:hAnsi="Century"/>
          <w:sz w:val="22"/>
          <w:shd w:val="clear" w:color="auto" w:fill="FFFFFF"/>
          <w:rtl/>
        </w:rPr>
        <w:t>"</w:t>
      </w:r>
      <w:r>
        <w:rPr>
          <w:rFonts w:ascii="Century" w:hAnsi="Century" w:cs="Miriam"/>
          <w:b/>
          <w:spacing w:val="0"/>
          <w:sz w:val="22"/>
          <w:szCs w:val="24"/>
          <w:shd w:val="clear" w:color="auto" w:fill="FFFFFF"/>
          <w:rtl/>
        </w:rPr>
        <w:t>האסיפה הבוחרת רשאית לפעול אף אם פחת מספר חבריה, כל עוד לא פחת מ-80</w:t>
      </w:r>
      <w:r>
        <w:rPr>
          <w:rtl/>
        </w:rPr>
        <w:t xml:space="preserve">". לכאורה, על פי לשונה, ניתן היה לסבור כי הוראה זו אינה חלה במישרין על ענייננו, שכן במקרה דנן מספר חברי האסיפה הבוחרת לא "פחת", אלא קיים חשש שחלק מחבריה לא ימונו עד למועד הבחירות שצפוי להיקבע לפי הוראות הצו. עם זאת, דומה כי בשל אופי האסיפה האמורה, ובעיקר בשים לב לכך שחבריה ממונים בסמוך למועד קיומן של הבחירות, תכלית הוראה זו אינה רק להבטיח את רציפות עבודת האסיפה במקרה בו נבצר מחלק מחבריה (בשל מוות או כל סיבה אחרת) להצביע, אלא נראה שעיקר תכליתה למנוע אפשרות של סיכול קיום הבחירות באמצעות הימנעותו של גורם אשר אמון על מינוי חברים לגוף הבוחר מלמלא חובתו (ובדומה לכך, ראו: בג"ץ 5424/98 </w:t>
      </w:r>
      <w:proofErr w:type="spellStart"/>
      <w:r>
        <w:rPr>
          <w:rFonts w:ascii="Century" w:hAnsi="Century" w:cs="Miriam"/>
          <w:b/>
          <w:spacing w:val="0"/>
          <w:sz w:val="22"/>
          <w:szCs w:val="24"/>
          <w:rtl/>
        </w:rPr>
        <w:t>סלאלחה</w:t>
      </w:r>
      <w:proofErr w:type="spellEnd"/>
      <w:r>
        <w:rPr>
          <w:rFonts w:ascii="Century" w:hAnsi="Century" w:cs="Miriam"/>
          <w:b/>
          <w:spacing w:val="0"/>
          <w:sz w:val="22"/>
          <w:szCs w:val="24"/>
          <w:rtl/>
        </w:rPr>
        <w:t xml:space="preserve"> נ' השר לענייני דתות</w:t>
      </w:r>
      <w:r>
        <w:rPr>
          <w:rtl/>
        </w:rPr>
        <w:t xml:space="preserve">, פ"ד נד(5) 97, 99 (2000), שם נקבע כי אין לאבחן בין אי מינוי, מראש, של חלק מחברי ועדת מינויים לבין מצב בו פחת מספר חבריה של ועדת המינויים לאחר הרכבתה). ודוק, כוונת המחוקק בעניין זה אף נלמדת מכך שלמעשה, החוק מתיר לאסיפה הבוחרת לפעול אף אם פחת מספר חבריה ב-70 חברים. על פני הדברים, בלתי מתקבל על הדעת שהמחוקק ראה לנגד עיניו מצב שבתקופת זמן כה קצרה ייבצר מ-70 חברי אסיפה להשתתף בבחירות. על כן, לא נראה סביר שתכלית ההוראה האמורה היא אך לשמור על רציפות תפקודית של האסיפה במקרה של נבצרות חלק מחבריה. לנוכח האמור, נראה כי ניתן לעשות שימוש בענייננו בהוראת הסעיף הנדון. </w:t>
      </w:r>
    </w:p>
    <w:p w:rsidR="000B503B" w:rsidRDefault="000B503B" w:rsidP="000B503B">
      <w:pPr>
        <w:pStyle w:val="Ruller4"/>
        <w:numPr>
          <w:ilvl w:val="0"/>
          <w:numId w:val="0"/>
        </w:numPr>
        <w:rPr>
          <w:rtl/>
        </w:rPr>
      </w:pPr>
    </w:p>
    <w:p w:rsidR="00AD6F0B" w:rsidRDefault="000B503B" w:rsidP="000B503B">
      <w:pPr>
        <w:pStyle w:val="Ruller4"/>
        <w:numPr>
          <w:ilvl w:val="0"/>
          <w:numId w:val="0"/>
        </w:numPr>
        <w:rPr>
          <w:rtl/>
        </w:rPr>
      </w:pPr>
      <w:r>
        <w:rPr>
          <w:rtl/>
        </w:rPr>
        <w:tab/>
      </w:r>
      <w:r w:rsidR="00AD6F0B">
        <w:rPr>
          <w:rtl/>
        </w:rPr>
        <w:t xml:space="preserve">לחילופין, אף אם נניח, כגישת מי מהמשיבים, כי סעיף 6(ב) לחוק אינו מתייחס לפי לשונו למצב הדברים שנוצר, דהיינו לאי-מינוי מתמשך של מקצת הנציגים לאסיפה הבוחרת (להבדיל מפחיתת מספרם לאחר שמונו כל הנציגים), הרי שקיים חסר בעניין זה בהסדרי החוק, ויש למלא אותו על דרך של היקש להוראה האמורה בהתאם להוראת סעיף 1 לחוק יסודות המשפט, </w:t>
      </w:r>
      <w:proofErr w:type="spellStart"/>
      <w:r w:rsidR="00AD6F0B">
        <w:rPr>
          <w:rtl/>
        </w:rPr>
        <w:t>תש"ם</w:t>
      </w:r>
      <w:proofErr w:type="spellEnd"/>
      <w:r w:rsidR="00AD6F0B">
        <w:rPr>
          <w:rtl/>
        </w:rPr>
        <w:t xml:space="preserve"> – 1980 (ודוק, גם סמכות הגורמים הממונים למנות את המינויים החסרים נלמדה על דרך ההיקש מסעיפים 20(ב) ו-20(ד) לחוק, שעניינם סיום כהונה בטרם עת, ולא מהוראת חוק החלה במישרין על המצב יוצא הדופן שנוצר עם סיום כהונת הרבנים הראשיים הקודמים בתום תקופת כהונתם טרם מינוי המינויים החסרים). </w:t>
      </w:r>
    </w:p>
    <w:p w:rsidR="00AD6F0B" w:rsidRDefault="00AD6F0B" w:rsidP="00AD6F0B">
      <w:pPr>
        <w:pStyle w:val="Ruller40"/>
        <w:rPr>
          <w:rtl/>
        </w:rPr>
      </w:pPr>
    </w:p>
    <w:p w:rsidR="00AD6F0B" w:rsidRDefault="00AD6F0B" w:rsidP="00AD6F0B">
      <w:pPr>
        <w:pStyle w:val="Ruller4"/>
        <w:numPr>
          <w:ilvl w:val="0"/>
          <w:numId w:val="0"/>
        </w:numPr>
        <w:rPr>
          <w:rtl/>
        </w:rPr>
      </w:pPr>
      <w:r>
        <w:rPr>
          <w:rtl/>
        </w:rPr>
        <w:lastRenderedPageBreak/>
        <w:tab/>
        <w:t xml:space="preserve">לבסוף, יוער כי על אף ההבהרה האמורה, אין בה כדי להפחית כמלוא הנימה מחובתם של הגורמים המוסמכים לממש את הזכות החשובה שהעניק להם המחוקק לבחור עשרה חברים לאסיפה הבוחרת על-פי שיקול דעתם – נציגים אשר אינם ממונים באופן אוטומטי על בסיס תפקיד, ותק או גיל. סמכות זו טומנת בחובה כוח מיוחד וחשוב, אשר נדמה שנועד לאפשר שיתוף של גורמים נוספים, מחוץ למערכת הקיימת, בבחירת הרבנים הראשיים וחברי מועצת הרבנות הראשית, ובכך להביא לגיוון המערכת </w:t>
      </w:r>
      <w:proofErr w:type="spellStart"/>
      <w:r>
        <w:rPr>
          <w:rtl/>
        </w:rPr>
        <w:t>ולטיובה</w:t>
      </w:r>
      <w:proofErr w:type="spellEnd"/>
      <w:r>
        <w:rPr>
          <w:rtl/>
        </w:rPr>
        <w:t xml:space="preserve">. </w:t>
      </w:r>
    </w:p>
    <w:p w:rsidR="00AD6F0B" w:rsidRDefault="00AD6F0B" w:rsidP="00AD6F0B">
      <w:pPr>
        <w:pStyle w:val="Ruller40"/>
        <w:rPr>
          <w:rtl/>
        </w:rPr>
      </w:pPr>
    </w:p>
    <w:p w:rsidR="00AD6F0B" w:rsidRDefault="00AD6F0B" w:rsidP="00AD6F0B">
      <w:pPr>
        <w:pStyle w:val="Ruller4"/>
        <w:numPr>
          <w:ilvl w:val="0"/>
          <w:numId w:val="0"/>
        </w:numPr>
        <w:rPr>
          <w:rtl/>
        </w:rPr>
      </w:pPr>
      <w:r>
        <w:rPr>
          <w:rtl/>
        </w:rPr>
        <w:t>10.</w:t>
      </w:r>
      <w:r>
        <w:rPr>
          <w:rtl/>
        </w:rPr>
        <w:tab/>
        <w:t xml:space="preserve">בכך מתמצה הטיפול בעתירות. </w:t>
      </w:r>
    </w:p>
    <w:p w:rsidR="00AD6F0B" w:rsidRDefault="00AD6F0B" w:rsidP="00AD6F0B">
      <w:pPr>
        <w:pStyle w:val="Ruller4"/>
        <w:numPr>
          <w:ilvl w:val="0"/>
          <w:numId w:val="0"/>
        </w:numPr>
        <w:rPr>
          <w:rtl/>
        </w:rPr>
      </w:pPr>
    </w:p>
    <w:p w:rsidR="00AD6F0B" w:rsidRDefault="00AD6F0B" w:rsidP="00AD6F0B">
      <w:pPr>
        <w:pStyle w:val="Ruller4"/>
        <w:numPr>
          <w:ilvl w:val="0"/>
          <w:numId w:val="0"/>
        </w:numPr>
        <w:rPr>
          <w:rtl/>
        </w:rPr>
      </w:pPr>
      <w:r>
        <w:rPr>
          <w:rtl/>
        </w:rPr>
        <w:tab/>
        <w:t xml:space="preserve">המדינה תישא בהוצאות העותרים בבג"ץ 4266/24, בג"ץ 4712/24 ובג"ץ 4886/24 בסכום של 15,000 ש"ח בגין כל אחת מהעתירות, וכן בסכום של 5,000 ש"ח לטובת העותר בבג"ץ 5652/24 (בסך </w:t>
      </w:r>
      <w:proofErr w:type="spellStart"/>
      <w:r>
        <w:rPr>
          <w:rtl/>
        </w:rPr>
        <w:t>הכל</w:t>
      </w:r>
      <w:proofErr w:type="spellEnd"/>
      <w:r>
        <w:rPr>
          <w:rtl/>
        </w:rPr>
        <w:t xml:space="preserve"> 50,000 ש"ח).</w:t>
      </w:r>
    </w:p>
    <w:p w:rsidR="00AD6F0B" w:rsidRDefault="00AD6F0B" w:rsidP="00AD6F0B">
      <w:pPr>
        <w:pStyle w:val="Ruller4"/>
        <w:numPr>
          <w:ilvl w:val="0"/>
          <w:numId w:val="0"/>
        </w:numPr>
      </w:pPr>
    </w:p>
    <w:p w:rsidR="00AD6F0B" w:rsidRDefault="00AD6F0B" w:rsidP="00AD6F0B">
      <w:pPr>
        <w:pStyle w:val="Ruller40"/>
        <w:rPr>
          <w:rtl/>
        </w:rPr>
      </w:pPr>
    </w:p>
    <w:p w:rsidR="00694556" w:rsidRDefault="0043502B" w:rsidP="0052547C">
      <w:pPr>
        <w:spacing w:line="360" w:lineRule="auto"/>
        <w:ind w:firstLine="720"/>
        <w:jc w:val="both"/>
        <w:rPr>
          <w:rFonts w:ascii="FrankRuehl" w:hAnsi="FrankRuehl" w:cs="FrankRuehl"/>
          <w:spacing w:val="10"/>
          <w:sz w:val="28"/>
          <w:szCs w:val="28"/>
          <w:rtl/>
        </w:rPr>
      </w:pPr>
      <w:r w:rsidRPr="00C615AB">
        <w:rPr>
          <w:rFonts w:ascii="FrankRuehl" w:hAnsi="FrankRuehl" w:cs="FrankRuehl"/>
          <w:spacing w:val="10"/>
          <w:sz w:val="28"/>
          <w:szCs w:val="28"/>
          <w:rtl/>
        </w:rPr>
        <w:t>נית</w:t>
      </w:r>
      <w:r w:rsidR="006D2099">
        <w:rPr>
          <w:rFonts w:ascii="FrankRuehl" w:hAnsi="FrankRuehl" w:cs="FrankRuehl" w:hint="cs"/>
          <w:spacing w:val="10"/>
          <w:sz w:val="28"/>
          <w:szCs w:val="28"/>
          <w:rtl/>
        </w:rPr>
        <w:t>ן</w:t>
      </w:r>
      <w:r w:rsidR="00005C8B" w:rsidRPr="00C615AB">
        <w:rPr>
          <w:rFonts w:ascii="FrankRuehl" w:hAnsi="FrankRuehl" w:cs="FrankRuehl"/>
          <w:spacing w:val="10"/>
          <w:sz w:val="28"/>
          <w:szCs w:val="28"/>
          <w:rtl/>
        </w:rPr>
        <w:t xml:space="preserve"> היום, </w:t>
      </w:r>
      <w:sdt>
        <w:sdtPr>
          <w:rPr>
            <w:rFonts w:ascii="FrankRuehl" w:hAnsi="FrankRuehl" w:cs="FrankRuehl"/>
            <w:spacing w:val="10"/>
            <w:sz w:val="28"/>
            <w:szCs w:val="28"/>
            <w:rtl/>
          </w:rPr>
          <w:alias w:val="1455"/>
          <w:tag w:val="1455"/>
          <w:id w:val="1666048407"/>
          <w:text w:multiLine="1"/>
        </w:sdtPr>
        <w:sdtEndPr/>
        <w:sdtContent>
          <w:r>
            <w:rPr>
              <w:rFonts w:ascii="FrankRuehl" w:hAnsi="FrankRuehl" w:cs="FrankRuehl"/>
              <w:spacing w:val="10"/>
              <w:sz w:val="28"/>
              <w:szCs w:val="28"/>
              <w:rtl/>
            </w:rPr>
            <w:t>ד' אב תשפ"ד</w:t>
          </w:r>
        </w:sdtContent>
      </w:sdt>
      <w:r w:rsidR="00005C8B" w:rsidRPr="00C615AB">
        <w:rPr>
          <w:rFonts w:ascii="FrankRuehl" w:hAnsi="FrankRuehl" w:cs="FrankRuehl"/>
          <w:spacing w:val="10"/>
          <w:sz w:val="28"/>
          <w:szCs w:val="28"/>
          <w:rtl/>
        </w:rPr>
        <w:t xml:space="preserve"> </w:t>
      </w:r>
      <w:r w:rsidR="00AF2178" w:rsidRPr="00C615AB">
        <w:rPr>
          <w:rFonts w:ascii="FrankRuehl" w:hAnsi="FrankRuehl" w:cs="FrankRuehl" w:hint="cs"/>
          <w:spacing w:val="10"/>
          <w:sz w:val="28"/>
          <w:szCs w:val="28"/>
          <w:rtl/>
        </w:rPr>
        <w:t>(</w:t>
      </w:r>
      <w:sdt>
        <w:sdtPr>
          <w:rPr>
            <w:rFonts w:ascii="FrankRuehl" w:hAnsi="FrankRuehl" w:cs="FrankRuehl"/>
            <w:spacing w:val="10"/>
            <w:sz w:val="28"/>
            <w:szCs w:val="28"/>
            <w:rtl/>
          </w:rPr>
          <w:alias w:val="1456"/>
          <w:tag w:val="1456"/>
          <w:id w:val="-1186288958"/>
          <w:text w:multiLine="1"/>
        </w:sdtPr>
        <w:sdtEndPr/>
        <w:sdtContent>
          <w:r>
            <w:rPr>
              <w:rFonts w:ascii="FrankRuehl" w:hAnsi="FrankRuehl" w:cs="FrankRuehl"/>
              <w:spacing w:val="10"/>
              <w:sz w:val="28"/>
              <w:szCs w:val="28"/>
              <w:rtl/>
            </w:rPr>
            <w:t>08 אוגוסט 2024</w:t>
          </w:r>
        </w:sdtContent>
      </w:sdt>
      <w:r w:rsidR="00AF2178" w:rsidRPr="00C615AB">
        <w:rPr>
          <w:rFonts w:ascii="FrankRuehl" w:hAnsi="FrankRuehl" w:cs="FrankRuehl" w:hint="cs"/>
          <w:spacing w:val="10"/>
          <w:sz w:val="28"/>
          <w:szCs w:val="28"/>
          <w:rtl/>
        </w:rPr>
        <w:t>)</w:t>
      </w:r>
      <w:r w:rsidR="00005C8B" w:rsidRPr="00C615AB">
        <w:rPr>
          <w:rFonts w:ascii="FrankRuehl" w:hAnsi="FrankRuehl" w:cs="FrankRuehl"/>
          <w:spacing w:val="10"/>
          <w:sz w:val="28"/>
          <w:szCs w:val="28"/>
          <w:rtl/>
        </w:rPr>
        <w:t>.</w:t>
      </w:r>
    </w:p>
    <w:p w:rsidR="001710ED" w:rsidRDefault="001710ED" w:rsidP="0052547C">
      <w:pPr>
        <w:spacing w:line="360" w:lineRule="auto"/>
        <w:ind w:firstLine="720"/>
        <w:jc w:val="both"/>
        <w:rPr>
          <w:rFonts w:ascii="FrankRuehl" w:hAnsi="FrankRuehl" w:cs="FrankRuehl"/>
          <w:spacing w:val="10"/>
          <w:sz w:val="28"/>
          <w:szCs w:val="28"/>
          <w:rtl/>
        </w:rPr>
      </w:pPr>
    </w:p>
    <w:p w:rsidR="008A481A" w:rsidRPr="00C615AB" w:rsidRDefault="008A481A" w:rsidP="008A481A">
      <w:pPr>
        <w:spacing w:line="360" w:lineRule="auto"/>
        <w:jc w:val="both"/>
        <w:rPr>
          <w:rFonts w:ascii="FrankRuehl" w:hAnsi="FrankRuehl" w:cs="FrankRuehl"/>
          <w:spacing w:val="10"/>
          <w:sz w:val="28"/>
          <w:szCs w:val="28"/>
          <w:rtl/>
        </w:rPr>
      </w:pPr>
    </w:p>
    <w:p w:rsidR="00C43648" w:rsidRPr="00105E0F" w:rsidRDefault="00C43648" w:rsidP="00BD6531">
      <w:pPr>
        <w:tabs>
          <w:tab w:val="left" w:pos="2553"/>
        </w:tabs>
        <w:ind w:left="5040"/>
        <w:rPr>
          <w:rFonts w:ascii="FrankRuehl" w:hAnsi="FrankRuehl" w:cs="FrankRuehl"/>
          <w:sz w:val="28"/>
          <w:szCs w:val="28"/>
          <w:rtl/>
        </w:rPr>
      </w:pPr>
    </w:p>
    <w:p w:rsidR="002C129F" w:rsidRDefault="00BD6531" w:rsidP="008A481A">
      <w:pPr>
        <w:tabs>
          <w:tab w:val="left" w:pos="2553"/>
        </w:tabs>
        <w:rPr>
          <w:rFonts w:ascii="FrankRuehl" w:hAnsi="FrankRuehl" w:cs="FrankRuehl"/>
          <w:sz w:val="28"/>
          <w:szCs w:val="28"/>
          <w:rtl/>
        </w:rPr>
      </w:pP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t xml:space="preserve">        </w:t>
      </w:r>
    </w:p>
    <w:tbl>
      <w:tblPr>
        <w:tblStyle w:val="ad"/>
        <w:bidiVisual/>
        <w:tblW w:w="83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39"/>
        <w:gridCol w:w="444"/>
        <w:gridCol w:w="2631"/>
        <w:gridCol w:w="309"/>
        <w:gridCol w:w="2383"/>
      </w:tblGrid>
      <w:tr w:rsidR="000B503B" w:rsidTr="003C5CD4">
        <w:trPr>
          <w:trHeight w:val="712"/>
          <w:jc w:val="center"/>
        </w:trPr>
        <w:tc>
          <w:tcPr>
            <w:tcW w:w="2796"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3"/>
            </w:tblGrid>
            <w:tr w:rsidR="000B503B" w:rsidRPr="00902600" w:rsidTr="004C1BF8">
              <w:trPr>
                <w:trHeight w:val="1247"/>
              </w:trPr>
              <w:tc>
                <w:tcPr>
                  <w:tcW w:w="2551" w:type="dxa"/>
                  <w:tcBorders>
                    <w:top w:val="nil"/>
                    <w:left w:val="nil"/>
                    <w:bottom w:val="single" w:sz="4" w:space="0" w:color="auto"/>
                    <w:right w:val="nil"/>
                  </w:tcBorders>
                  <w:vAlign w:val="center"/>
                </w:tcPr>
                <w:p w:rsidR="000B503B" w:rsidRPr="00902600" w:rsidRDefault="000B503B" w:rsidP="004C1BF8">
                  <w:pPr>
                    <w:jc w:val="center"/>
                    <w:rPr>
                      <w:rFonts w:ascii="Courier New" w:hAnsi="Courier New"/>
                    </w:rPr>
                  </w:pPr>
                  <w:r w:rsidRPr="00902600">
                    <w:rPr>
                      <w:rFonts w:ascii="Courier New" w:hAnsi="Courier New"/>
                      <w:noProof/>
                    </w:rPr>
                    <w:drawing>
                      <wp:inline distT="0" distB="0" distL="0" distR="0" wp14:anchorId="5DEB6D9B" wp14:editId="2BD8B458">
                        <wp:extent cx="898497" cy="743157"/>
                        <wp:effectExtent l="0" t="0" r="0" b="0"/>
                        <wp:docPr id="3" name="Picture 3" descr="וילנר 05606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ילנר 0560627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9095" cy="751923"/>
                                </a:xfrm>
                                <a:prstGeom prst="rect">
                                  <a:avLst/>
                                </a:prstGeom>
                                <a:noFill/>
                                <a:ln>
                                  <a:noFill/>
                                </a:ln>
                              </pic:spPr>
                            </pic:pic>
                          </a:graphicData>
                        </a:graphic>
                      </wp:inline>
                    </w:drawing>
                  </w:r>
                </w:p>
              </w:tc>
            </w:tr>
            <w:tr w:rsidR="000B503B" w:rsidRPr="00902600" w:rsidTr="004C1BF8">
              <w:trPr>
                <w:trHeight w:val="454"/>
              </w:trPr>
              <w:tc>
                <w:tcPr>
                  <w:tcW w:w="2551" w:type="dxa"/>
                  <w:tcBorders>
                    <w:top w:val="single" w:sz="4" w:space="0" w:color="auto"/>
                    <w:left w:val="nil"/>
                    <w:bottom w:val="nil"/>
                    <w:right w:val="nil"/>
                  </w:tcBorders>
                  <w:vAlign w:val="center"/>
                </w:tcPr>
                <w:p w:rsidR="000B503B" w:rsidRPr="00902600" w:rsidRDefault="000B503B" w:rsidP="00AF6F94">
                  <w:pPr>
                    <w:jc w:val="center"/>
                    <w:rPr>
                      <w:rFonts w:ascii="FrankRuehl" w:hAnsi="FrankRuehl" w:cs="FrankRuehl"/>
                      <w:spacing w:val="10"/>
                      <w:sz w:val="28"/>
                      <w:szCs w:val="28"/>
                      <w:rtl/>
                    </w:rPr>
                  </w:pPr>
                  <w:r>
                    <w:rPr>
                      <w:rFonts w:ascii="FrankRuehl" w:hAnsi="FrankRuehl" w:cs="FrankRuehl"/>
                      <w:spacing w:val="10"/>
                      <w:sz w:val="28"/>
                      <w:szCs w:val="28"/>
                      <w:rtl/>
                    </w:rPr>
                    <w:t xml:space="preserve">יעל </w:t>
                  </w:r>
                  <w:proofErr w:type="spellStart"/>
                  <w:r>
                    <w:rPr>
                      <w:rFonts w:ascii="FrankRuehl" w:hAnsi="FrankRuehl" w:cs="FrankRuehl"/>
                      <w:spacing w:val="10"/>
                      <w:sz w:val="28"/>
                      <w:szCs w:val="28"/>
                      <w:rtl/>
                    </w:rPr>
                    <w:t>וילנר</w:t>
                  </w:r>
                  <w:proofErr w:type="spellEnd"/>
                </w:p>
                <w:p w:rsidR="000B503B" w:rsidRPr="00902600" w:rsidRDefault="000B503B" w:rsidP="00AF6F94">
                  <w:pPr>
                    <w:jc w:val="center"/>
                    <w:rPr>
                      <w:rFonts w:ascii="Courier New" w:hAnsi="Courier New"/>
                    </w:rPr>
                  </w:pPr>
                  <w:r w:rsidRPr="00902600">
                    <w:rPr>
                      <w:rFonts w:ascii="FrankRuehl" w:hAnsi="FrankRuehl" w:cs="FrankRuehl"/>
                      <w:spacing w:val="10"/>
                      <w:sz w:val="28"/>
                      <w:szCs w:val="28"/>
                      <w:rtl/>
                    </w:rPr>
                    <w:t>שופטת</w:t>
                  </w:r>
                </w:p>
              </w:tc>
            </w:tr>
          </w:tbl>
          <w:p w:rsidR="000B503B" w:rsidRPr="00902600" w:rsidRDefault="000B503B"/>
          <w:p w:rsidR="000B503B" w:rsidRPr="00222A7A" w:rsidRDefault="000B503B" w:rsidP="003C5CD4">
            <w:pPr>
              <w:spacing w:before="40" w:after="40"/>
              <w:jc w:val="center"/>
              <w:rPr>
                <w:rtl/>
              </w:rPr>
            </w:pPr>
          </w:p>
        </w:tc>
        <w:tc>
          <w:tcPr>
            <w:tcW w:w="526" w:type="dxa"/>
          </w:tcPr>
          <w:p w:rsidR="000B503B" w:rsidRDefault="000B503B" w:rsidP="003C5CD4">
            <w:pPr>
              <w:spacing w:before="40" w:after="40"/>
              <w:jc w:val="center"/>
              <w:rPr>
                <w:rtl/>
              </w:rPr>
            </w:pPr>
          </w:p>
        </w:tc>
        <w:tc>
          <w:tcPr>
            <w:tcW w:w="2029"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5"/>
            </w:tblGrid>
            <w:tr w:rsidR="000B503B" w:rsidRPr="006F3A20" w:rsidTr="000002AC">
              <w:trPr>
                <w:trHeight w:val="1247"/>
              </w:trPr>
              <w:tc>
                <w:tcPr>
                  <w:tcW w:w="2551" w:type="dxa"/>
                  <w:tcBorders>
                    <w:bottom w:val="single" w:sz="4" w:space="0" w:color="auto"/>
                  </w:tcBorders>
                  <w:vAlign w:val="bottom"/>
                </w:tcPr>
                <w:p w:rsidR="000B503B" w:rsidRPr="006F3A20" w:rsidRDefault="000B503B">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1"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0B503B" w:rsidRPr="006F3A20" w:rsidTr="000002AC">
              <w:trPr>
                <w:trHeight w:val="454"/>
              </w:trPr>
              <w:tc>
                <w:tcPr>
                  <w:tcW w:w="2551" w:type="dxa"/>
                  <w:tcBorders>
                    <w:top w:val="single" w:sz="4" w:space="0" w:color="auto"/>
                  </w:tcBorders>
                </w:tcPr>
                <w:p w:rsidR="000B503B" w:rsidRPr="006F3A20" w:rsidRDefault="000B503B">
                  <w:pPr>
                    <w:jc w:val="center"/>
                    <w:rPr>
                      <w:rFonts w:ascii="FrankRuehl" w:hAnsi="FrankRuehl" w:cs="FrankRuehl"/>
                      <w:spacing w:val="10"/>
                      <w:sz w:val="28"/>
                      <w:szCs w:val="28"/>
                      <w:rtl/>
                    </w:rPr>
                  </w:pPr>
                  <w:r>
                    <w:rPr>
                      <w:rFonts w:ascii="FrankRuehl" w:hAnsi="FrankRuehl" w:cs="FrankRuehl"/>
                      <w:spacing w:val="10"/>
                      <w:sz w:val="28"/>
                      <w:szCs w:val="28"/>
                      <w:rtl/>
                    </w:rPr>
                    <w:t xml:space="preserve">עופר </w:t>
                  </w:r>
                  <w:proofErr w:type="spellStart"/>
                  <w:r>
                    <w:rPr>
                      <w:rFonts w:ascii="FrankRuehl" w:hAnsi="FrankRuehl" w:cs="FrankRuehl"/>
                      <w:spacing w:val="10"/>
                      <w:sz w:val="28"/>
                      <w:szCs w:val="28"/>
                      <w:rtl/>
                    </w:rPr>
                    <w:t>גרוסקופף</w:t>
                  </w:r>
                  <w:proofErr w:type="spellEnd"/>
                </w:p>
                <w:p w:rsidR="000B503B" w:rsidRPr="006F3A20" w:rsidRDefault="000B503B">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0B503B" w:rsidRPr="006F3A20" w:rsidRDefault="000B503B" w:rsidP="004527DB"/>
          <w:p w:rsidR="000B503B" w:rsidRPr="00222A7A" w:rsidRDefault="000B503B" w:rsidP="003C5CD4">
            <w:pPr>
              <w:spacing w:before="40" w:after="40"/>
              <w:jc w:val="center"/>
              <w:rPr>
                <w:rtl/>
              </w:rPr>
            </w:pPr>
          </w:p>
        </w:tc>
        <w:tc>
          <w:tcPr>
            <w:tcW w:w="341" w:type="dxa"/>
          </w:tcPr>
          <w:p w:rsidR="000B503B" w:rsidRDefault="000B503B" w:rsidP="003C5CD4">
            <w:pPr>
              <w:spacing w:before="40" w:after="40"/>
              <w:jc w:val="center"/>
              <w:rPr>
                <w:rtl/>
              </w:rPr>
            </w:pPr>
          </w:p>
        </w:tc>
        <w:tc>
          <w:tcPr>
            <w:tcW w:w="2614" w:type="dxa"/>
          </w:tcPr>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67"/>
            </w:tblGrid>
            <w:tr w:rsidR="000B503B" w:rsidRPr="00350E7C" w:rsidTr="00E132EE">
              <w:trPr>
                <w:trHeight w:val="1247"/>
              </w:trPr>
              <w:tc>
                <w:tcPr>
                  <w:tcW w:w="2551" w:type="dxa"/>
                  <w:tcBorders>
                    <w:top w:val="nil"/>
                    <w:left w:val="nil"/>
                    <w:bottom w:val="single" w:sz="4" w:space="0" w:color="auto"/>
                    <w:right w:val="nil"/>
                  </w:tcBorders>
                  <w:vAlign w:val="center"/>
                </w:tcPr>
                <w:p w:rsidR="000B503B" w:rsidRPr="00350E7C" w:rsidRDefault="000B503B" w:rsidP="00A40E20">
                  <w:pPr>
                    <w:jc w:val="center"/>
                    <w:rPr>
                      <w:rFonts w:ascii="Courier New" w:hAnsi="Courier New"/>
                    </w:rPr>
                  </w:pPr>
                  <w:r w:rsidRPr="00350E7C">
                    <w:rPr>
                      <w:noProof/>
                    </w:rPr>
                    <w:drawing>
                      <wp:inline distT="0" distB="0" distL="0" distR="0">
                        <wp:extent cx="842839" cy="753789"/>
                        <wp:effectExtent l="0" t="0" r="0" b="8255"/>
                        <wp:docPr id="4" name="תמונה 4" descr="C:\Users\ShimiG\AppData\Local\Microsoft\Windows\INetCache\Content.Word\השופט אלכס שטיי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אלכס שטיין.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2920" cy="780692"/>
                                </a:xfrm>
                                <a:prstGeom prst="rect">
                                  <a:avLst/>
                                </a:prstGeom>
                                <a:noFill/>
                                <a:ln>
                                  <a:noFill/>
                                </a:ln>
                              </pic:spPr>
                            </pic:pic>
                          </a:graphicData>
                        </a:graphic>
                      </wp:inline>
                    </w:drawing>
                  </w:r>
                </w:p>
              </w:tc>
            </w:tr>
            <w:tr w:rsidR="000B503B" w:rsidRPr="00350E7C" w:rsidTr="00E132EE">
              <w:trPr>
                <w:trHeight w:val="454"/>
              </w:trPr>
              <w:tc>
                <w:tcPr>
                  <w:tcW w:w="2551" w:type="dxa"/>
                  <w:tcBorders>
                    <w:top w:val="single" w:sz="4" w:space="0" w:color="auto"/>
                    <w:left w:val="nil"/>
                    <w:bottom w:val="nil"/>
                    <w:right w:val="nil"/>
                  </w:tcBorders>
                  <w:vAlign w:val="center"/>
                </w:tcPr>
                <w:p w:rsidR="000B503B" w:rsidRPr="000B503B" w:rsidRDefault="000B503B" w:rsidP="00A40E20">
                  <w:pPr>
                    <w:pStyle w:val="31"/>
                    <w:jc w:val="center"/>
                    <w:outlineLvl w:val="2"/>
                    <w:rPr>
                      <w:rFonts w:ascii="FrankRuehl" w:hAnsi="FrankRuehl" w:cs="FrankRuehl"/>
                      <w:b/>
                      <w:bCs/>
                      <w:color w:val="auto"/>
                      <w:spacing w:val="10"/>
                      <w:sz w:val="28"/>
                      <w:szCs w:val="28"/>
                      <w:rtl/>
                    </w:rPr>
                  </w:pPr>
                  <w:r w:rsidRPr="000B503B">
                    <w:rPr>
                      <w:rFonts w:ascii="FrankRuehl" w:hAnsi="FrankRuehl" w:cs="FrankRuehl"/>
                      <w:color w:val="auto"/>
                      <w:spacing w:val="10"/>
                      <w:sz w:val="28"/>
                      <w:szCs w:val="28"/>
                      <w:rtl/>
                    </w:rPr>
                    <w:t xml:space="preserve">אלכס שטיין </w:t>
                  </w:r>
                </w:p>
                <w:p w:rsidR="000B503B" w:rsidRPr="00350E7C" w:rsidRDefault="000B503B" w:rsidP="00A40E20">
                  <w:pPr>
                    <w:pStyle w:val="31"/>
                    <w:jc w:val="center"/>
                    <w:outlineLvl w:val="2"/>
                    <w:rPr>
                      <w:rFonts w:ascii="FrankRuehl" w:hAnsi="FrankRuehl" w:cs="FrankRuehl"/>
                      <w:b/>
                      <w:bCs/>
                      <w:spacing w:val="10"/>
                      <w:sz w:val="28"/>
                      <w:szCs w:val="28"/>
                      <w:rtl/>
                    </w:rPr>
                  </w:pPr>
                  <w:r w:rsidRPr="000B503B">
                    <w:rPr>
                      <w:rFonts w:ascii="FrankRuehl" w:hAnsi="FrankRuehl" w:cs="FrankRuehl"/>
                      <w:color w:val="auto"/>
                      <w:spacing w:val="10"/>
                      <w:sz w:val="28"/>
                      <w:szCs w:val="28"/>
                      <w:rtl/>
                    </w:rPr>
                    <w:t>שופט</w:t>
                  </w:r>
                </w:p>
              </w:tc>
            </w:tr>
          </w:tbl>
          <w:p w:rsidR="000B503B" w:rsidRDefault="000B503B">
            <w:pPr>
              <w:jc w:val="center"/>
              <w:rPr>
                <w:rtl/>
              </w:rPr>
            </w:pPr>
          </w:p>
          <w:p w:rsidR="000B503B" w:rsidRPr="00222A7A" w:rsidRDefault="000B503B" w:rsidP="003C5CD4">
            <w:pPr>
              <w:spacing w:before="40" w:after="40"/>
              <w:jc w:val="center"/>
              <w:rPr>
                <w:rtl/>
              </w:rPr>
            </w:pPr>
          </w:p>
        </w:tc>
      </w:tr>
    </w:tbl>
    <w:p w:rsidR="000B503B" w:rsidRPr="005C39C7" w:rsidRDefault="000B503B"/>
    <w:p w:rsidR="002C129F" w:rsidRPr="005C39C7" w:rsidRDefault="002C129F" w:rsidP="000B503B"/>
    <w:p w:rsidR="00694556" w:rsidRPr="002C129F" w:rsidRDefault="00694556" w:rsidP="002C129F">
      <w:pPr>
        <w:tabs>
          <w:tab w:val="left" w:pos="1392"/>
        </w:tabs>
        <w:rPr>
          <w:rFonts w:ascii="FrankRuehl" w:hAnsi="FrankRuehl" w:cs="FrankRuehl"/>
          <w:sz w:val="28"/>
          <w:szCs w:val="28"/>
          <w:rtl/>
        </w:rPr>
      </w:pPr>
    </w:p>
    <w:sectPr w:rsidR="00694556" w:rsidRPr="002C129F" w:rsidSect="00B01789">
      <w:headerReference w:type="even" r:id="rId20"/>
      <w:headerReference w:type="default" r:id="rId21"/>
      <w:footerReference w:type="even" r:id="rId22"/>
      <w:footerReference w:type="default" r:id="rId23"/>
      <w:headerReference w:type="first" r:id="rId24"/>
      <w:footerReference w:type="first" r:id="rId25"/>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CD" w:rsidRDefault="00B401C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7"/>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CE0BF4">
      <w:rPr>
        <w:rStyle w:val="af"/>
        <w:rFonts w:cs="Times New Roman"/>
        <w:noProof/>
        <w:rtl/>
      </w:rPr>
      <w:t>9</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CE0BF4">
      <w:rPr>
        <w:rStyle w:val="af"/>
        <w:noProof/>
        <w:rtl/>
      </w:rPr>
      <w:t>9</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CD" w:rsidRDefault="00B401C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1CD" w:rsidRDefault="00B401C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CE0BF4" w:rsidRPr="00CE0BF4">
          <w:rPr>
            <w:noProof/>
            <w:rtl/>
            <w:lang w:val="he-IL"/>
          </w:rPr>
          <w:t>9</w:t>
        </w:r>
        <w:r>
          <w:fldChar w:fldCharType="end"/>
        </w:r>
      </w:p>
    </w:sdtContent>
  </w:sdt>
  <w:p w:rsidR="00694556" w:rsidRDefault="00694556" w:rsidP="00860920">
    <w:pPr>
      <w:jc w:val="right"/>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19C95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76EB1A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8BEF58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68F2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30A9D9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D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1068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F2461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4821F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3F8DF4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E074094"/>
    <w:multiLevelType w:val="hybridMultilevel"/>
    <w:tmpl w:val="74846198"/>
    <w:lvl w:ilvl="0" w:tplc="4354656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F26330F"/>
    <w:multiLevelType w:val="hybridMultilevel"/>
    <w:tmpl w:val="0A887384"/>
    <w:lvl w:ilvl="0" w:tplc="2D94D98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44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25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2571&amp;lt;/CaseID&amp;gt;_x000d__x000a_        &amp;lt;CaseMonth&amp;gt;5&amp;lt;/CaseMonth&amp;gt;_x000d__x000a_        &amp;lt;CaseYear&amp;gt;2024&amp;lt;/CaseYear&amp;gt;_x000d__x000a_        &amp;lt;CaseNumber&amp;gt;78957&amp;lt;/CaseNumber&amp;gt;_x000d__x000a_        &amp;lt;NumeratorGroupID&amp;gt;1&amp;lt;/NumeratorGroupID&amp;gt;_x000d__x000a_        &amp;lt;CaseName&amp;gt;המרכז לקידום מעמד האשה ע&amp;quot;ש רות ועמנואל רקמן באוניב  נ&amp;#39; כבוד ראש מועצת הרבנות הראשית לציון  ואח&amp;#39;&amp;lt;/CaseName&amp;gt;_x000d__x000a_        &amp;lt;CourtID&amp;gt;11&amp;lt;/CourtID&amp;gt;_x000d__x000a_        &amp;lt;CaseTypeID&amp;gt;10140&amp;lt;/CaseTypeID&amp;gt;_x000d__x000a_        &amp;lt;CaseInterestID&amp;gt;10770&amp;lt;/CaseInterestID&amp;gt;_x000d__x000a_        &amp;lt;CaseLinkTypeID&amp;gt;3&amp;lt;/CaseLinkTypeID&amp;gt;_x000d__x000a_        &amp;lt;ProcedureID&amp;gt;4&amp;lt;/ProcedureID&amp;gt;_x000d__x000a_        &amp;lt;PreviousCaseYear&amp;gt;2024&amp;lt;/PreviousCaseYear&amp;gt;_x000d__x000a_        &amp;lt;PreviousCaseNumber&amp;gt;4266&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4266/24&amp;lt;/CaseDisplayIdentifier&amp;gt;_x000d__x000a_        &amp;lt;CaseTypeDesc&amp;gt;בג&amp;quot;ץ&amp;lt;/CaseTypeDesc&amp;gt;_x000d__x000a_        &amp;lt;CourtDesc&amp;gt;העליון&amp;lt;/CourtDesc&amp;gt;_x000d__x000a_        &amp;lt;CaseStageDesc&amp;gt;תיק נייר מוסב&amp;lt;/CaseStageDesc&amp;gt;_x000d__x000a_        &amp;lt;IsUnpaidFeeExist&amp;gt;false&amp;lt;/IsUnpaidFeeExist&amp;gt;_x000d__x000a_        &amp;lt;CaseNextDeterminingTask&amp;gt;151&amp;lt;/CaseNextDeterminingTask&amp;gt;_x000d__x000a_        &amp;lt;CaseOpenDate&amp;gt;2024-05-23T00:00:00+03: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amp;gt;&amp;quot;הוקפא&amp;quot; – עד להמשך טיפול בעתירה הנוספת שהוגשה היום._x000d__x000a_התיק, הכריכות והנלווים הועברו ללשכת השופטת וילנר_x000d__x000a_&amp;lt;/CaseDesc&amp;gt;_x000d__x000a_        &amp;lt;isExistMinorSide&amp;gt;false&amp;lt;/isExistMinorSide&amp;gt;_x000d__x000a_        &amp;lt;isExistMinorWitness&amp;gt;false&amp;lt;/isExistMinorWitness&amp;gt;_x000d__x000a_        &amp;lt;PreviousCaseIdentifier&amp;gt;20240042660&amp;lt;/PreviousCaseIdentifier&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2571&amp;lt;/CaseID&amp;gt;_x000d__x000a_        &amp;lt;CaseMonth&amp;gt;5&amp;lt;/CaseMonth&amp;gt;_x000d__x000a_        &amp;lt;CaseYear&amp;gt;2024&amp;lt;/CaseYear&amp;gt;_x000d__x000a_        &amp;lt;CaseNumber&amp;gt;78957&amp;lt;/CaseNumber&amp;gt;_x000d__x000a_        &amp;lt;NumeratorGroupID&amp;gt;1&amp;lt;/NumeratorGroupID&amp;gt;_x000d__x000a_        &amp;lt;CaseName&amp;gt;המרכז לקידום מעמד האשה ע&amp;quot;ש רות ועמנואל רקמן באוניב  נ&amp;#39; כבוד ראש מועצת הרבנות הראשית לציון  ואח&amp;#39;&amp;lt;/CaseName&amp;gt;_x000d__x000a_        &amp;lt;CourtID&amp;gt;11&amp;lt;/CourtID&amp;gt;_x000d__x000a_        &amp;lt;CaseTypeID&amp;gt;10140&amp;lt;/CaseTypeID&amp;gt;_x000d__x000a_        &amp;lt;CaseInterestID&amp;gt;10770&amp;lt;/CaseInterestID&amp;gt;_x000d__x000a_        &amp;lt;CaseLinkTypeID&amp;gt;3&amp;lt;/CaseLinkTypeID&amp;gt;_x000d__x000a_        &amp;lt;ProcedureID&amp;gt;4&amp;lt;/ProcedureID&amp;gt;_x000d__x000a_        &amp;lt;PreviousCaseYear&amp;gt;2024&amp;lt;/PreviousCaseYear&amp;gt;_x000d__x000a_        &amp;lt;PreviousCaseNumber&amp;gt;4266&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4266/24&amp;lt;/CaseDisplayIdentifier&amp;gt;_x000d__x000a_        &amp;lt;CaseTypeDesc&amp;gt;בג&amp;quot;ץ&amp;lt;/CaseTypeDesc&amp;gt;_x000d__x000a_        &amp;lt;CourtDesc&amp;gt;העליון&amp;lt;/CourtDesc&amp;gt;_x000d__x000a_        &amp;lt;CaseStageDesc&amp;gt;תיק נייר מוסב&amp;lt;/CaseStageDesc&amp;gt;_x000d__x000a_        &amp;lt;CaseNextDeterminingTask&amp;gt;151&amp;lt;/CaseNextDeterminingTask&amp;gt;_x000d__x000a_        &amp;lt;CaseOpenDate&amp;gt;2024-05-23T00:00:00+03:00&amp;lt;/CaseOpenDate&amp;gt;_x000d__x000a_        &amp;lt;PleaTypeID&amp;gt;20&amp;lt;/PleaTypeID&amp;gt;_x000d__x000a_        &amp;lt;CourtLevelID&amp;gt;3&amp;lt;/CourtLevelID&amp;gt;_x000d__x000a_        &amp;lt;CourtLevelCaseTypeInterestID&amp;gt;2259&amp;lt;/CourtLevelCaseTypeInterest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amp;gt;&amp;quot;הוקפא&amp;quot; – עד להמשך טיפול בעתירה הנוספת שהוגשה היום._x000d__x000a_התיק, הכריכות והנלווים הועברו ללשכת השופטת וילנר_x000d__x000a_&amp;lt;/CaseDesc&amp;gt;_x000d__x000a_        &amp;lt;PreviousCaseIdentifier&amp;gt;20240042660&amp;lt;/PreviousCaseIdentifier&amp;gt;_x000d__x000a_        &amp;lt;IsAccessibilityRequired&amp;gt;false&amp;lt;/IsAccessibilityRequired&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51351&amp;lt;/DecisionID&amp;gt;_x000d__x000a_        &amp;lt;DecisionName&amp;gt;פסק דין  שניתנה ע&amp;quot;י  יעל וילנר&amp;lt;/DecisionName&amp;gt;_x000d__x000a_        &amp;lt;DecisionStatusID&amp;gt;1&amp;lt;/DecisionStatusID&amp;gt;_x000d__x000a_        &amp;lt;DecisionStatusChangeDate&amp;gt;2024-08-08T13:06:35.403+03:00&amp;lt;/DecisionStatusChangeDate&amp;gt;_x000d__x000a_        &amp;lt;DecisionSignatureDate&amp;gt;2024-08-08T12:21:56.973+03:00&amp;lt;/DecisionSignatureDate&amp;gt;_x000d__x000a_        &amp;lt;DecisionSignatureUserID&amp;gt;056062730@GOV.IL&amp;lt;/DecisionSignatureUserID&amp;gt;_x000d__x000a_        &amp;lt;DecisionCreateDate&amp;gt;2024-08-08T11:48:18.583+03:00&amp;lt;/DecisionCreateDate&amp;gt;_x000d__x000a_        &amp;lt;DecisionChangeDate&amp;gt;2024-08-08T13:06:35.457+03:00&amp;lt;/DecisionChangeDate&amp;gt;_x000d__x000a_        &amp;lt;DecisionChangeUserID&amp;gt;05606273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30698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06273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05471@GOV.IL&amp;lt;/DecisionCreationUserID&amp;gt;_x000d__x000a_        &amp;lt;DecisionDisplayName&amp;gt;פסק דין  שניתנה ע&amp;quot;י  יעל וילנר&amp;lt;/DecisionDisplayName&amp;gt;_x000d__x000a_        &amp;lt;IsScanned&amp;gt;false&amp;lt;/IsScanned&amp;gt;_x000d__x000a_        &amp;lt;DecisionSignatureUserName&amp;gt;יעל וילנ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ecisionMeetingDate&amp;gt;2024-08-08T00:00:00+03:00&amp;lt;/DecisionMeetingDate&amp;gt;_x000d__x000a_      &amp;lt;/dt_Decision&amp;gt;_x000d__x000a_      &amp;lt;dt_DecisionCase diffgr:id=&amp;quot;dt_DecisionCase1&amp;quot; msdata:rowOrder=&amp;quot;0&amp;quot;&amp;gt;_x000d__x000a_        &amp;lt;DecisionID&amp;gt;154351351&amp;lt;/DecisionID&amp;gt;_x000d__x000a_        &amp;lt;CaseID&amp;gt;81832571&amp;lt;/CaseID&amp;gt;_x000d__x000a_        &amp;lt;IsOriginal&amp;gt;true&amp;lt;/IsOriginal&amp;gt;_x000d__x000a_        &amp;lt;IsDeleted&amp;gt;false&amp;lt;/IsDeleted&amp;gt;_x000d__x000a_        &amp;lt;CaseName&amp;gt;המרכז לקידום מעמד האשה ע&amp;quot;ש רות ועמנואל רקמן באוניב  נ&amp;#39; כבוד ראש מועצת הרבנות הראשית לציון  ואח&amp;#39;&amp;lt;/CaseName&amp;gt;_x000d__x000a_        &amp;lt;CaseDisplayIdentifier&amp;gt;בג&amp;quot;ץ 4266/24&amp;lt;/CaseDisplayIdentifier&amp;gt;_x000d__x000a_      &amp;lt;/dt_DecisionCase&amp;gt;_x000d__x000a_    &amp;lt;/DecisionDS&amp;gt;_x000d__x000a_  &amp;lt;/diffgr:diffgram&amp;gt;_x000d__x000a_&amp;lt;/DecisionDS&amp;gt;"/>
    <w:docVar w:name="DecisionID" w:val="154351351"/>
    <w:docVar w:name="WordClientAssemblyName" w:val="NGCS.Decision.ClientWordBL"/>
    <w:docVar w:name="WordClientClassName" w:val="NGCS.Decision.ClientWordBL.DecisionClient"/>
  </w:docVars>
  <w:rsids>
    <w:rsidRoot w:val="00694556"/>
    <w:rsid w:val="00000062"/>
    <w:rsid w:val="0000226B"/>
    <w:rsid w:val="00002E32"/>
    <w:rsid w:val="00005C8B"/>
    <w:rsid w:val="00007DE0"/>
    <w:rsid w:val="0001348B"/>
    <w:rsid w:val="000346CC"/>
    <w:rsid w:val="000529D2"/>
    <w:rsid w:val="000564AB"/>
    <w:rsid w:val="00064FBD"/>
    <w:rsid w:val="00082AB2"/>
    <w:rsid w:val="000906FE"/>
    <w:rsid w:val="00096AF7"/>
    <w:rsid w:val="000A29EC"/>
    <w:rsid w:val="000B344B"/>
    <w:rsid w:val="000B503B"/>
    <w:rsid w:val="000C3B0F"/>
    <w:rsid w:val="000C3B60"/>
    <w:rsid w:val="000E0DD2"/>
    <w:rsid w:val="000E12EA"/>
    <w:rsid w:val="000E3AF1"/>
    <w:rsid w:val="000F0BC8"/>
    <w:rsid w:val="000F0DD6"/>
    <w:rsid w:val="00103959"/>
    <w:rsid w:val="00105E0F"/>
    <w:rsid w:val="00107E6D"/>
    <w:rsid w:val="0011194C"/>
    <w:rsid w:val="0011424C"/>
    <w:rsid w:val="001173C6"/>
    <w:rsid w:val="0012190F"/>
    <w:rsid w:val="001367BC"/>
    <w:rsid w:val="00144D2A"/>
    <w:rsid w:val="0014653E"/>
    <w:rsid w:val="001710ED"/>
    <w:rsid w:val="00180519"/>
    <w:rsid w:val="00191C82"/>
    <w:rsid w:val="001B30C3"/>
    <w:rsid w:val="001C4003"/>
    <w:rsid w:val="001D4DBF"/>
    <w:rsid w:val="001E75CA"/>
    <w:rsid w:val="002265FF"/>
    <w:rsid w:val="00235B97"/>
    <w:rsid w:val="00271B56"/>
    <w:rsid w:val="002C129F"/>
    <w:rsid w:val="002C344E"/>
    <w:rsid w:val="002C53BA"/>
    <w:rsid w:val="002E6B8A"/>
    <w:rsid w:val="002E75E9"/>
    <w:rsid w:val="002F0B1E"/>
    <w:rsid w:val="00307A6A"/>
    <w:rsid w:val="00307C40"/>
    <w:rsid w:val="00320433"/>
    <w:rsid w:val="003230C7"/>
    <w:rsid w:val="00327E50"/>
    <w:rsid w:val="0033597A"/>
    <w:rsid w:val="00343D89"/>
    <w:rsid w:val="00362612"/>
    <w:rsid w:val="0036743F"/>
    <w:rsid w:val="00367B06"/>
    <w:rsid w:val="003711E5"/>
    <w:rsid w:val="003715DD"/>
    <w:rsid w:val="003823E0"/>
    <w:rsid w:val="00397836"/>
    <w:rsid w:val="003A4521"/>
    <w:rsid w:val="003B3E8D"/>
    <w:rsid w:val="003D1C8C"/>
    <w:rsid w:val="003F781C"/>
    <w:rsid w:val="0040096C"/>
    <w:rsid w:val="00414F1F"/>
    <w:rsid w:val="004240D5"/>
    <w:rsid w:val="0043125D"/>
    <w:rsid w:val="00433A60"/>
    <w:rsid w:val="0043502B"/>
    <w:rsid w:val="004443AC"/>
    <w:rsid w:val="00444B02"/>
    <w:rsid w:val="00451E28"/>
    <w:rsid w:val="00462C62"/>
    <w:rsid w:val="00465D36"/>
    <w:rsid w:val="004B3A40"/>
    <w:rsid w:val="004C17EE"/>
    <w:rsid w:val="004C4BDF"/>
    <w:rsid w:val="004D1187"/>
    <w:rsid w:val="004D3AA0"/>
    <w:rsid w:val="004E1987"/>
    <w:rsid w:val="004E2347"/>
    <w:rsid w:val="004E2E15"/>
    <w:rsid w:val="004E6E3C"/>
    <w:rsid w:val="00511B90"/>
    <w:rsid w:val="00520898"/>
    <w:rsid w:val="00523621"/>
    <w:rsid w:val="00524986"/>
    <w:rsid w:val="0052547C"/>
    <w:rsid w:val="005268F6"/>
    <w:rsid w:val="00534284"/>
    <w:rsid w:val="00547DB7"/>
    <w:rsid w:val="00562D52"/>
    <w:rsid w:val="005777A3"/>
    <w:rsid w:val="005B066A"/>
    <w:rsid w:val="005C0627"/>
    <w:rsid w:val="005D7C4B"/>
    <w:rsid w:val="005F4F09"/>
    <w:rsid w:val="0061431B"/>
    <w:rsid w:val="00622BAA"/>
    <w:rsid w:val="006306CF"/>
    <w:rsid w:val="006318D8"/>
    <w:rsid w:val="00644E9A"/>
    <w:rsid w:val="00671BD5"/>
    <w:rsid w:val="006805C1"/>
    <w:rsid w:val="00686C21"/>
    <w:rsid w:val="006931C1"/>
    <w:rsid w:val="00694556"/>
    <w:rsid w:val="006B7258"/>
    <w:rsid w:val="006C30C5"/>
    <w:rsid w:val="006C6ED2"/>
    <w:rsid w:val="006D2099"/>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0920"/>
    <w:rsid w:val="00863F5D"/>
    <w:rsid w:val="00870890"/>
    <w:rsid w:val="00873602"/>
    <w:rsid w:val="00875D12"/>
    <w:rsid w:val="0088479D"/>
    <w:rsid w:val="00891F42"/>
    <w:rsid w:val="0089357A"/>
    <w:rsid w:val="00896889"/>
    <w:rsid w:val="008A481A"/>
    <w:rsid w:val="008A59EE"/>
    <w:rsid w:val="008A6E97"/>
    <w:rsid w:val="008C5714"/>
    <w:rsid w:val="008D10B2"/>
    <w:rsid w:val="00903896"/>
    <w:rsid w:val="00906F3D"/>
    <w:rsid w:val="009208FE"/>
    <w:rsid w:val="00931A9D"/>
    <w:rsid w:val="0094424E"/>
    <w:rsid w:val="00955642"/>
    <w:rsid w:val="00960D2B"/>
    <w:rsid w:val="009622DF"/>
    <w:rsid w:val="0096493F"/>
    <w:rsid w:val="00967DFF"/>
    <w:rsid w:val="00994341"/>
    <w:rsid w:val="009A55B2"/>
    <w:rsid w:val="009D1A48"/>
    <w:rsid w:val="009D426B"/>
    <w:rsid w:val="009E1CE7"/>
    <w:rsid w:val="009E4EA5"/>
    <w:rsid w:val="009F164B"/>
    <w:rsid w:val="009F323C"/>
    <w:rsid w:val="00A131B7"/>
    <w:rsid w:val="00A3392B"/>
    <w:rsid w:val="00A35ADB"/>
    <w:rsid w:val="00A6000E"/>
    <w:rsid w:val="00A81988"/>
    <w:rsid w:val="00A8434E"/>
    <w:rsid w:val="00A85E34"/>
    <w:rsid w:val="00A87DF6"/>
    <w:rsid w:val="00A9144F"/>
    <w:rsid w:val="00A94B64"/>
    <w:rsid w:val="00AA3229"/>
    <w:rsid w:val="00AA7596"/>
    <w:rsid w:val="00AB5E52"/>
    <w:rsid w:val="00AC3B02"/>
    <w:rsid w:val="00AC3B7B"/>
    <w:rsid w:val="00AC5209"/>
    <w:rsid w:val="00AD6F0B"/>
    <w:rsid w:val="00AE0E34"/>
    <w:rsid w:val="00AE729E"/>
    <w:rsid w:val="00AE7752"/>
    <w:rsid w:val="00AF2178"/>
    <w:rsid w:val="00AF7FDA"/>
    <w:rsid w:val="00B01789"/>
    <w:rsid w:val="00B327C4"/>
    <w:rsid w:val="00B401CD"/>
    <w:rsid w:val="00B5356E"/>
    <w:rsid w:val="00B62AD7"/>
    <w:rsid w:val="00B66717"/>
    <w:rsid w:val="00B77019"/>
    <w:rsid w:val="00B809AD"/>
    <w:rsid w:val="00B80CBD"/>
    <w:rsid w:val="00B86096"/>
    <w:rsid w:val="00B95D6E"/>
    <w:rsid w:val="00B964D9"/>
    <w:rsid w:val="00BA0A7C"/>
    <w:rsid w:val="00BA517C"/>
    <w:rsid w:val="00BB3D05"/>
    <w:rsid w:val="00BB73BE"/>
    <w:rsid w:val="00BC2D89"/>
    <w:rsid w:val="00BC5A54"/>
    <w:rsid w:val="00BD6531"/>
    <w:rsid w:val="00BE05B2"/>
    <w:rsid w:val="00BF1908"/>
    <w:rsid w:val="00C105F9"/>
    <w:rsid w:val="00C22D93"/>
    <w:rsid w:val="00C23458"/>
    <w:rsid w:val="00C31120"/>
    <w:rsid w:val="00C34482"/>
    <w:rsid w:val="00C43648"/>
    <w:rsid w:val="00C50A9F"/>
    <w:rsid w:val="00C55EB3"/>
    <w:rsid w:val="00C615AB"/>
    <w:rsid w:val="00C642FA"/>
    <w:rsid w:val="00CC7622"/>
    <w:rsid w:val="00CD516B"/>
    <w:rsid w:val="00CD608F"/>
    <w:rsid w:val="00CE0084"/>
    <w:rsid w:val="00CE0BF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EC6ACB"/>
    <w:rsid w:val="00EE6389"/>
    <w:rsid w:val="00F038D8"/>
    <w:rsid w:val="00F06995"/>
    <w:rsid w:val="00F117C4"/>
    <w:rsid w:val="00F12D66"/>
    <w:rsid w:val="00F13623"/>
    <w:rsid w:val="00F221DB"/>
    <w:rsid w:val="00F44D1D"/>
    <w:rsid w:val="00F84B6D"/>
    <w:rsid w:val="00F856E6"/>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4473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2C129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2C12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2C129F"/>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2C129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C129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C129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C129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C129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9">
    <w:name w:val="annotation text"/>
    <w:basedOn w:val="a1"/>
    <w:link w:val="aa"/>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semiHidden/>
    <w:rsid w:val="00C64423"/>
    <w:rPr>
      <w:rFonts w:ascii="Tahoma" w:hAnsi="Tahoma" w:cs="Tahoma"/>
      <w:sz w:val="16"/>
      <w:szCs w:val="16"/>
    </w:rPr>
  </w:style>
  <w:style w:type="table" w:styleId="ad">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2"/>
    <w:rsid w:val="00C64423"/>
    <w:rPr>
      <w:noProof w:val="0"/>
    </w:rPr>
  </w:style>
  <w:style w:type="character" w:styleId="af">
    <w:name w:val="page number"/>
    <w:basedOn w:val="a2"/>
    <w:rsid w:val="00C64423"/>
    <w:rPr>
      <w:noProof w:val="0"/>
    </w:rPr>
  </w:style>
  <w:style w:type="table" w:customStyle="1" w:styleId="11">
    <w:name w:val="טבלת רשת1"/>
    <w:basedOn w:val="a3"/>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B01789"/>
    <w:rPr>
      <w:rFonts w:cs="David"/>
      <w:noProof w:val="0"/>
      <w:sz w:val="24"/>
      <w:szCs w:val="24"/>
    </w:rPr>
  </w:style>
  <w:style w:type="paragraph" w:customStyle="1" w:styleId="Ruller3">
    <w:name w:val="Ruller 3"/>
    <w:basedOn w:val="a1"/>
    <w:rsid w:val="001710ED"/>
    <w:pPr>
      <w:tabs>
        <w:tab w:val="left" w:pos="3210"/>
        <w:tab w:val="left" w:pos="6753"/>
      </w:tabs>
      <w:overflowPunct w:val="0"/>
      <w:autoSpaceDE w:val="0"/>
      <w:autoSpaceDN w:val="0"/>
      <w:adjustRightInd w:val="0"/>
      <w:spacing w:line="360" w:lineRule="auto"/>
    </w:pPr>
    <w:rPr>
      <w:rFonts w:cs="FrankRuehl"/>
      <w:spacing w:val="10"/>
      <w:sz w:val="22"/>
      <w:szCs w:val="28"/>
    </w:rPr>
  </w:style>
  <w:style w:type="paragraph" w:customStyle="1" w:styleId="BodyRuller">
    <w:name w:val="Body Ruller"/>
    <w:basedOn w:val="a1"/>
    <w:rsid w:val="001710ED"/>
    <w:pPr>
      <w:overflowPunct w:val="0"/>
      <w:autoSpaceDE w:val="0"/>
      <w:autoSpaceDN w:val="0"/>
      <w:adjustRightInd w:val="0"/>
    </w:pPr>
    <w:rPr>
      <w:sz w:val="22"/>
      <w:szCs w:val="28"/>
    </w:rPr>
  </w:style>
  <w:style w:type="character" w:styleId="FollowedHyperlink">
    <w:name w:val="FollowedHyperlink"/>
    <w:basedOn w:val="a2"/>
    <w:semiHidden/>
    <w:unhideWhenUsed/>
    <w:rsid w:val="002C129F"/>
    <w:rPr>
      <w:noProof w:val="0"/>
      <w:color w:val="800080" w:themeColor="followedHyperlink"/>
      <w:u w:val="single"/>
    </w:rPr>
  </w:style>
  <w:style w:type="character" w:styleId="HTMLCite">
    <w:name w:val="HTML Cite"/>
    <w:basedOn w:val="a2"/>
    <w:semiHidden/>
    <w:unhideWhenUsed/>
    <w:rsid w:val="002C129F"/>
    <w:rPr>
      <w:i/>
      <w:iCs/>
      <w:noProof w:val="0"/>
    </w:rPr>
  </w:style>
  <w:style w:type="character" w:styleId="HTMLCode">
    <w:name w:val="HTML Code"/>
    <w:basedOn w:val="a2"/>
    <w:semiHidden/>
    <w:unhideWhenUsed/>
    <w:rsid w:val="002C129F"/>
    <w:rPr>
      <w:rFonts w:ascii="Consolas" w:hAnsi="Consolas"/>
      <w:noProof w:val="0"/>
      <w:sz w:val="20"/>
      <w:szCs w:val="20"/>
    </w:rPr>
  </w:style>
  <w:style w:type="character" w:styleId="HTMLDefinition">
    <w:name w:val="HTML Definition"/>
    <w:basedOn w:val="a2"/>
    <w:semiHidden/>
    <w:unhideWhenUsed/>
    <w:rsid w:val="002C129F"/>
    <w:rPr>
      <w:i/>
      <w:iCs/>
      <w:noProof w:val="0"/>
    </w:rPr>
  </w:style>
  <w:style w:type="character" w:styleId="HTMLVariable">
    <w:name w:val="HTML Variable"/>
    <w:basedOn w:val="a2"/>
    <w:semiHidden/>
    <w:unhideWhenUsed/>
    <w:rsid w:val="002C129F"/>
    <w:rPr>
      <w:i/>
      <w:iCs/>
      <w:noProof w:val="0"/>
    </w:rPr>
  </w:style>
  <w:style w:type="paragraph" w:styleId="HTML">
    <w:name w:val="HTML Preformatted"/>
    <w:basedOn w:val="a1"/>
    <w:link w:val="HTML0"/>
    <w:semiHidden/>
    <w:unhideWhenUsed/>
    <w:rsid w:val="002C129F"/>
    <w:rPr>
      <w:rFonts w:ascii="Consolas" w:hAnsi="Consolas"/>
      <w:sz w:val="20"/>
      <w:szCs w:val="20"/>
    </w:rPr>
  </w:style>
  <w:style w:type="character" w:customStyle="1" w:styleId="HTML0">
    <w:name w:val="HTML מעוצב מראש תו"/>
    <w:basedOn w:val="a2"/>
    <w:link w:val="HTML"/>
    <w:semiHidden/>
    <w:rsid w:val="002C129F"/>
    <w:rPr>
      <w:rFonts w:ascii="Consolas" w:hAnsi="Consolas" w:cs="David"/>
      <w:noProof w:val="0"/>
    </w:rPr>
  </w:style>
  <w:style w:type="character" w:styleId="Hyperlink">
    <w:name w:val="Hyperlink"/>
    <w:basedOn w:val="a2"/>
    <w:semiHidden/>
    <w:unhideWhenUsed/>
    <w:rsid w:val="002C129F"/>
    <w:rPr>
      <w:noProof w:val="0"/>
      <w:color w:val="0000FF" w:themeColor="hyperlink"/>
      <w:u w:val="single"/>
    </w:rPr>
  </w:style>
  <w:style w:type="paragraph" w:styleId="Index1">
    <w:name w:val="index 1"/>
    <w:basedOn w:val="a1"/>
    <w:next w:val="a1"/>
    <w:autoRedefine/>
    <w:semiHidden/>
    <w:unhideWhenUsed/>
    <w:rsid w:val="002C129F"/>
    <w:pPr>
      <w:ind w:left="240" w:hanging="240"/>
    </w:pPr>
  </w:style>
  <w:style w:type="paragraph" w:styleId="Index2">
    <w:name w:val="index 2"/>
    <w:basedOn w:val="a1"/>
    <w:next w:val="a1"/>
    <w:autoRedefine/>
    <w:semiHidden/>
    <w:unhideWhenUsed/>
    <w:rsid w:val="002C129F"/>
    <w:pPr>
      <w:ind w:left="480" w:hanging="240"/>
    </w:pPr>
  </w:style>
  <w:style w:type="paragraph" w:styleId="Index3">
    <w:name w:val="index 3"/>
    <w:basedOn w:val="a1"/>
    <w:next w:val="a1"/>
    <w:autoRedefine/>
    <w:semiHidden/>
    <w:unhideWhenUsed/>
    <w:rsid w:val="002C129F"/>
    <w:pPr>
      <w:ind w:left="720" w:hanging="240"/>
    </w:pPr>
  </w:style>
  <w:style w:type="paragraph" w:styleId="Index4">
    <w:name w:val="index 4"/>
    <w:basedOn w:val="a1"/>
    <w:next w:val="a1"/>
    <w:autoRedefine/>
    <w:semiHidden/>
    <w:unhideWhenUsed/>
    <w:rsid w:val="002C129F"/>
    <w:pPr>
      <w:ind w:left="960" w:hanging="240"/>
    </w:pPr>
  </w:style>
  <w:style w:type="paragraph" w:styleId="Index5">
    <w:name w:val="index 5"/>
    <w:basedOn w:val="a1"/>
    <w:next w:val="a1"/>
    <w:autoRedefine/>
    <w:semiHidden/>
    <w:unhideWhenUsed/>
    <w:rsid w:val="002C129F"/>
    <w:pPr>
      <w:ind w:left="1200" w:hanging="240"/>
    </w:pPr>
  </w:style>
  <w:style w:type="paragraph" w:styleId="Index6">
    <w:name w:val="index 6"/>
    <w:basedOn w:val="a1"/>
    <w:next w:val="a1"/>
    <w:autoRedefine/>
    <w:semiHidden/>
    <w:unhideWhenUsed/>
    <w:rsid w:val="002C129F"/>
    <w:pPr>
      <w:ind w:left="1440" w:hanging="240"/>
    </w:pPr>
  </w:style>
  <w:style w:type="paragraph" w:styleId="Index7">
    <w:name w:val="index 7"/>
    <w:basedOn w:val="a1"/>
    <w:next w:val="a1"/>
    <w:autoRedefine/>
    <w:semiHidden/>
    <w:unhideWhenUsed/>
    <w:rsid w:val="002C129F"/>
    <w:pPr>
      <w:ind w:left="1680" w:hanging="240"/>
    </w:pPr>
  </w:style>
  <w:style w:type="paragraph" w:styleId="Index8">
    <w:name w:val="index 8"/>
    <w:basedOn w:val="a1"/>
    <w:next w:val="a1"/>
    <w:autoRedefine/>
    <w:semiHidden/>
    <w:unhideWhenUsed/>
    <w:rsid w:val="002C129F"/>
    <w:pPr>
      <w:ind w:left="1920" w:hanging="240"/>
    </w:pPr>
  </w:style>
  <w:style w:type="paragraph" w:styleId="Index9">
    <w:name w:val="index 9"/>
    <w:basedOn w:val="a1"/>
    <w:next w:val="a1"/>
    <w:autoRedefine/>
    <w:semiHidden/>
    <w:unhideWhenUsed/>
    <w:rsid w:val="002C129F"/>
    <w:pPr>
      <w:ind w:left="2160" w:hanging="240"/>
    </w:pPr>
  </w:style>
  <w:style w:type="paragraph" w:styleId="NormalWeb">
    <w:name w:val="Normal (Web)"/>
    <w:basedOn w:val="a1"/>
    <w:semiHidden/>
    <w:unhideWhenUsed/>
    <w:rsid w:val="002C129F"/>
    <w:rPr>
      <w:rFonts w:cs="Times New Roman"/>
    </w:rPr>
  </w:style>
  <w:style w:type="paragraph" w:styleId="TOC1">
    <w:name w:val="toc 1"/>
    <w:basedOn w:val="a1"/>
    <w:next w:val="a1"/>
    <w:autoRedefine/>
    <w:semiHidden/>
    <w:unhideWhenUsed/>
    <w:rsid w:val="002C129F"/>
    <w:pPr>
      <w:spacing w:after="100"/>
    </w:pPr>
  </w:style>
  <w:style w:type="paragraph" w:styleId="TOC2">
    <w:name w:val="toc 2"/>
    <w:basedOn w:val="a1"/>
    <w:next w:val="a1"/>
    <w:autoRedefine/>
    <w:semiHidden/>
    <w:unhideWhenUsed/>
    <w:rsid w:val="002C129F"/>
    <w:pPr>
      <w:spacing w:after="100"/>
      <w:ind w:left="240"/>
    </w:pPr>
  </w:style>
  <w:style w:type="paragraph" w:styleId="TOC3">
    <w:name w:val="toc 3"/>
    <w:basedOn w:val="a1"/>
    <w:next w:val="a1"/>
    <w:autoRedefine/>
    <w:semiHidden/>
    <w:unhideWhenUsed/>
    <w:rsid w:val="002C129F"/>
    <w:pPr>
      <w:spacing w:after="100"/>
      <w:ind w:left="480"/>
    </w:pPr>
  </w:style>
  <w:style w:type="paragraph" w:styleId="TOC4">
    <w:name w:val="toc 4"/>
    <w:basedOn w:val="a1"/>
    <w:next w:val="a1"/>
    <w:autoRedefine/>
    <w:semiHidden/>
    <w:unhideWhenUsed/>
    <w:rsid w:val="002C129F"/>
    <w:pPr>
      <w:spacing w:after="100"/>
      <w:ind w:left="720"/>
    </w:pPr>
  </w:style>
  <w:style w:type="paragraph" w:styleId="TOC5">
    <w:name w:val="toc 5"/>
    <w:basedOn w:val="a1"/>
    <w:next w:val="a1"/>
    <w:autoRedefine/>
    <w:semiHidden/>
    <w:unhideWhenUsed/>
    <w:rsid w:val="002C129F"/>
    <w:pPr>
      <w:spacing w:after="100"/>
      <w:ind w:left="960"/>
    </w:pPr>
  </w:style>
  <w:style w:type="paragraph" w:styleId="TOC6">
    <w:name w:val="toc 6"/>
    <w:basedOn w:val="a1"/>
    <w:next w:val="a1"/>
    <w:autoRedefine/>
    <w:semiHidden/>
    <w:unhideWhenUsed/>
    <w:rsid w:val="002C129F"/>
    <w:pPr>
      <w:spacing w:after="100"/>
      <w:ind w:left="1200"/>
    </w:pPr>
  </w:style>
  <w:style w:type="paragraph" w:styleId="TOC7">
    <w:name w:val="toc 7"/>
    <w:basedOn w:val="a1"/>
    <w:next w:val="a1"/>
    <w:autoRedefine/>
    <w:semiHidden/>
    <w:unhideWhenUsed/>
    <w:rsid w:val="002C129F"/>
    <w:pPr>
      <w:spacing w:after="100"/>
      <w:ind w:left="1440"/>
    </w:pPr>
  </w:style>
  <w:style w:type="paragraph" w:styleId="TOC8">
    <w:name w:val="toc 8"/>
    <w:basedOn w:val="a1"/>
    <w:next w:val="a1"/>
    <w:autoRedefine/>
    <w:semiHidden/>
    <w:unhideWhenUsed/>
    <w:rsid w:val="002C129F"/>
    <w:pPr>
      <w:spacing w:after="100"/>
      <w:ind w:left="1680"/>
    </w:pPr>
  </w:style>
  <w:style w:type="paragraph" w:styleId="TOC9">
    <w:name w:val="toc 9"/>
    <w:basedOn w:val="a1"/>
    <w:next w:val="a1"/>
    <w:autoRedefine/>
    <w:semiHidden/>
    <w:unhideWhenUsed/>
    <w:rsid w:val="002C129F"/>
    <w:pPr>
      <w:spacing w:after="100"/>
      <w:ind w:left="1920"/>
    </w:pPr>
  </w:style>
  <w:style w:type="table" w:styleId="-1">
    <w:name w:val="Table 3D effects 1"/>
    <w:basedOn w:val="a3"/>
    <w:semiHidden/>
    <w:unhideWhenUsed/>
    <w:rsid w:val="002C129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C129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C129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2C129F"/>
  </w:style>
  <w:style w:type="paragraph" w:styleId="af2">
    <w:name w:val="Salutation"/>
    <w:basedOn w:val="a1"/>
    <w:next w:val="a1"/>
    <w:link w:val="af3"/>
    <w:rsid w:val="002C129F"/>
  </w:style>
  <w:style w:type="character" w:customStyle="1" w:styleId="af3">
    <w:name w:val="ברכה תו"/>
    <w:basedOn w:val="a2"/>
    <w:link w:val="af2"/>
    <w:rsid w:val="002C129F"/>
    <w:rPr>
      <w:rFonts w:cs="David"/>
      <w:noProof w:val="0"/>
      <w:sz w:val="24"/>
      <w:szCs w:val="24"/>
    </w:rPr>
  </w:style>
  <w:style w:type="paragraph" w:styleId="af4">
    <w:name w:val="Body Text"/>
    <w:basedOn w:val="a1"/>
    <w:link w:val="af5"/>
    <w:semiHidden/>
    <w:unhideWhenUsed/>
    <w:rsid w:val="002C129F"/>
    <w:pPr>
      <w:spacing w:after="120"/>
    </w:pPr>
  </w:style>
  <w:style w:type="character" w:customStyle="1" w:styleId="af5">
    <w:name w:val="גוף טקסט תו"/>
    <w:basedOn w:val="a2"/>
    <w:link w:val="af4"/>
    <w:semiHidden/>
    <w:rsid w:val="002C129F"/>
    <w:rPr>
      <w:rFonts w:cs="David"/>
      <w:noProof w:val="0"/>
      <w:sz w:val="24"/>
      <w:szCs w:val="24"/>
    </w:rPr>
  </w:style>
  <w:style w:type="paragraph" w:styleId="23">
    <w:name w:val="Body Text 2"/>
    <w:basedOn w:val="a1"/>
    <w:link w:val="24"/>
    <w:semiHidden/>
    <w:unhideWhenUsed/>
    <w:rsid w:val="002C129F"/>
    <w:pPr>
      <w:spacing w:after="120" w:line="480" w:lineRule="auto"/>
    </w:pPr>
  </w:style>
  <w:style w:type="character" w:customStyle="1" w:styleId="24">
    <w:name w:val="גוף טקסט 2 תו"/>
    <w:basedOn w:val="a2"/>
    <w:link w:val="23"/>
    <w:semiHidden/>
    <w:rsid w:val="002C129F"/>
    <w:rPr>
      <w:rFonts w:cs="David"/>
      <w:noProof w:val="0"/>
      <w:sz w:val="24"/>
      <w:szCs w:val="24"/>
    </w:rPr>
  </w:style>
  <w:style w:type="paragraph" w:styleId="33">
    <w:name w:val="Body Text 3"/>
    <w:basedOn w:val="a1"/>
    <w:link w:val="34"/>
    <w:semiHidden/>
    <w:unhideWhenUsed/>
    <w:rsid w:val="002C129F"/>
    <w:pPr>
      <w:spacing w:after="120"/>
    </w:pPr>
    <w:rPr>
      <w:sz w:val="16"/>
      <w:szCs w:val="16"/>
    </w:rPr>
  </w:style>
  <w:style w:type="character" w:customStyle="1" w:styleId="34">
    <w:name w:val="גוף טקסט 3 תו"/>
    <w:basedOn w:val="a2"/>
    <w:link w:val="33"/>
    <w:semiHidden/>
    <w:rsid w:val="002C129F"/>
    <w:rPr>
      <w:rFonts w:cs="David"/>
      <w:noProof w:val="0"/>
      <w:sz w:val="16"/>
      <w:szCs w:val="16"/>
    </w:rPr>
  </w:style>
  <w:style w:type="character" w:styleId="HTML1">
    <w:name w:val="HTML Sample"/>
    <w:basedOn w:val="a2"/>
    <w:semiHidden/>
    <w:unhideWhenUsed/>
    <w:rsid w:val="002C129F"/>
    <w:rPr>
      <w:rFonts w:ascii="Consolas" w:hAnsi="Consolas"/>
      <w:noProof w:val="0"/>
      <w:sz w:val="24"/>
      <w:szCs w:val="24"/>
    </w:rPr>
  </w:style>
  <w:style w:type="character" w:styleId="af6">
    <w:name w:val="Emphasis"/>
    <w:basedOn w:val="a2"/>
    <w:qFormat/>
    <w:rsid w:val="002C129F"/>
    <w:rPr>
      <w:i/>
      <w:iCs/>
      <w:noProof w:val="0"/>
    </w:rPr>
  </w:style>
  <w:style w:type="character" w:styleId="af7">
    <w:name w:val="Intense Emphasis"/>
    <w:basedOn w:val="a2"/>
    <w:uiPriority w:val="21"/>
    <w:qFormat/>
    <w:rsid w:val="002C129F"/>
    <w:rPr>
      <w:i/>
      <w:iCs/>
      <w:noProof w:val="0"/>
      <w:color w:val="4F81BD" w:themeColor="accent1"/>
    </w:rPr>
  </w:style>
  <w:style w:type="character" w:styleId="af8">
    <w:name w:val="Subtle Emphasis"/>
    <w:basedOn w:val="a2"/>
    <w:uiPriority w:val="19"/>
    <w:qFormat/>
    <w:rsid w:val="002C129F"/>
    <w:rPr>
      <w:i/>
      <w:iCs/>
      <w:noProof w:val="0"/>
      <w:color w:val="404040" w:themeColor="text1" w:themeTint="BF"/>
    </w:rPr>
  </w:style>
  <w:style w:type="paragraph" w:styleId="af9">
    <w:name w:val="List Continue"/>
    <w:basedOn w:val="a1"/>
    <w:semiHidden/>
    <w:unhideWhenUsed/>
    <w:rsid w:val="002C129F"/>
    <w:pPr>
      <w:spacing w:after="120"/>
      <w:ind w:left="283"/>
      <w:contextualSpacing/>
    </w:pPr>
  </w:style>
  <w:style w:type="paragraph" w:styleId="25">
    <w:name w:val="List Continue 2"/>
    <w:basedOn w:val="a1"/>
    <w:semiHidden/>
    <w:unhideWhenUsed/>
    <w:rsid w:val="002C129F"/>
    <w:pPr>
      <w:spacing w:after="120"/>
      <w:ind w:left="566"/>
      <w:contextualSpacing/>
    </w:pPr>
  </w:style>
  <w:style w:type="paragraph" w:styleId="35">
    <w:name w:val="List Continue 3"/>
    <w:basedOn w:val="a1"/>
    <w:semiHidden/>
    <w:unhideWhenUsed/>
    <w:rsid w:val="002C129F"/>
    <w:pPr>
      <w:spacing w:after="120"/>
      <w:ind w:left="849"/>
      <w:contextualSpacing/>
    </w:pPr>
  </w:style>
  <w:style w:type="paragraph" w:styleId="42">
    <w:name w:val="List Continue 4"/>
    <w:basedOn w:val="a1"/>
    <w:semiHidden/>
    <w:unhideWhenUsed/>
    <w:rsid w:val="002C129F"/>
    <w:pPr>
      <w:spacing w:after="120"/>
      <w:ind w:left="1132"/>
      <w:contextualSpacing/>
    </w:pPr>
  </w:style>
  <w:style w:type="paragraph" w:styleId="53">
    <w:name w:val="List Continue 5"/>
    <w:basedOn w:val="a1"/>
    <w:semiHidden/>
    <w:unhideWhenUsed/>
    <w:rsid w:val="002C129F"/>
    <w:pPr>
      <w:spacing w:after="120"/>
      <w:ind w:left="1415"/>
      <w:contextualSpacing/>
    </w:pPr>
  </w:style>
  <w:style w:type="character" w:styleId="afa">
    <w:name w:val="Intense Reference"/>
    <w:basedOn w:val="a2"/>
    <w:uiPriority w:val="32"/>
    <w:qFormat/>
    <w:rsid w:val="002C129F"/>
    <w:rPr>
      <w:b/>
      <w:bCs/>
      <w:smallCaps/>
      <w:noProof w:val="0"/>
      <w:color w:val="4F81BD" w:themeColor="accent1"/>
      <w:spacing w:val="5"/>
    </w:rPr>
  </w:style>
  <w:style w:type="character" w:styleId="afb">
    <w:name w:val="endnote reference"/>
    <w:basedOn w:val="a2"/>
    <w:semiHidden/>
    <w:unhideWhenUsed/>
    <w:rsid w:val="002C129F"/>
    <w:rPr>
      <w:noProof w:val="0"/>
      <w:vertAlign w:val="superscript"/>
    </w:rPr>
  </w:style>
  <w:style w:type="character" w:styleId="afc">
    <w:name w:val="footnote reference"/>
    <w:basedOn w:val="a2"/>
    <w:semiHidden/>
    <w:unhideWhenUsed/>
    <w:rsid w:val="002C129F"/>
    <w:rPr>
      <w:noProof w:val="0"/>
      <w:vertAlign w:val="superscript"/>
    </w:rPr>
  </w:style>
  <w:style w:type="character" w:styleId="afd">
    <w:name w:val="Subtle Reference"/>
    <w:basedOn w:val="a2"/>
    <w:uiPriority w:val="31"/>
    <w:qFormat/>
    <w:rsid w:val="002C129F"/>
    <w:rPr>
      <w:smallCaps/>
      <w:noProof w:val="0"/>
      <w:color w:val="5A5A5A" w:themeColor="text1" w:themeTint="A5"/>
    </w:rPr>
  </w:style>
  <w:style w:type="table" w:styleId="afe">
    <w:name w:val="Light Shading"/>
    <w:basedOn w:val="a3"/>
    <w:uiPriority w:val="60"/>
    <w:semiHidden/>
    <w:unhideWhenUsed/>
    <w:rsid w:val="002C129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C129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C129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C129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C129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C129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C129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2C12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C12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C12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C12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C12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C12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C12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C12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2C129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C129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C129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C129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C129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C129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C129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2C129F"/>
    <w:rPr>
      <w:b/>
      <w:bCs/>
      <w:noProof w:val="0"/>
    </w:rPr>
  </w:style>
  <w:style w:type="paragraph" w:styleId="aff1">
    <w:name w:val="Signature"/>
    <w:basedOn w:val="a1"/>
    <w:link w:val="aff2"/>
    <w:semiHidden/>
    <w:unhideWhenUsed/>
    <w:rsid w:val="002C129F"/>
    <w:pPr>
      <w:ind w:left="4252"/>
    </w:pPr>
  </w:style>
  <w:style w:type="character" w:customStyle="1" w:styleId="aff2">
    <w:name w:val="חתימה תו"/>
    <w:basedOn w:val="a2"/>
    <w:link w:val="aff1"/>
    <w:semiHidden/>
    <w:rsid w:val="002C129F"/>
    <w:rPr>
      <w:rFonts w:cs="David"/>
      <w:noProof w:val="0"/>
      <w:sz w:val="24"/>
      <w:szCs w:val="24"/>
    </w:rPr>
  </w:style>
  <w:style w:type="paragraph" w:styleId="aff3">
    <w:name w:val="E-mail Signature"/>
    <w:basedOn w:val="a1"/>
    <w:link w:val="aff4"/>
    <w:semiHidden/>
    <w:unhideWhenUsed/>
    <w:rsid w:val="002C129F"/>
  </w:style>
  <w:style w:type="character" w:customStyle="1" w:styleId="aff4">
    <w:name w:val="חתימת דואר אלקטרוני תו"/>
    <w:basedOn w:val="a2"/>
    <w:link w:val="aff3"/>
    <w:semiHidden/>
    <w:rsid w:val="002C129F"/>
    <w:rPr>
      <w:rFonts w:cs="David"/>
      <w:noProof w:val="0"/>
      <w:sz w:val="24"/>
      <w:szCs w:val="24"/>
    </w:rPr>
  </w:style>
  <w:style w:type="table" w:styleId="aff5">
    <w:name w:val="Table Elegant"/>
    <w:basedOn w:val="a3"/>
    <w:semiHidden/>
    <w:unhideWhenUsed/>
    <w:rsid w:val="002C129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2C129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2C129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2C129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2C129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2C129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2C129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2C129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2C129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2C129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2C129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2C129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2C129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2C129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2C129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2C129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2C129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2C129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2C129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C129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2C129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2C129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2C129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2C129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C129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C129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C129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C129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C129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C129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2C129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C129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C129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C129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C129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C129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C129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2C129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C129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C129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C129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C129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C129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C129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2C129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C129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C129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C129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C129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C129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C129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C129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C129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C129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C129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C129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C129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C129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C129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C129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C129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C129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C129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C129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C129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C129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C129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C129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C129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C129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C129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C129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2C129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C129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C129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C129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C129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C129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C129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2C129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C129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C129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C129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C129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C129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C129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2C129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C129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C129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C129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C129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C129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C129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2C129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C129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C129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C129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C129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C129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C129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C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C129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C129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C129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C129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C129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C129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C129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C129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C129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C129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C129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C129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C129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C129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2C129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2C129F"/>
    <w:rPr>
      <w:sz w:val="20"/>
      <w:szCs w:val="20"/>
    </w:rPr>
  </w:style>
  <w:style w:type="character" w:customStyle="1" w:styleId="affa">
    <w:name w:val="טקסט הערת סיום תו"/>
    <w:basedOn w:val="a2"/>
    <w:link w:val="aff9"/>
    <w:semiHidden/>
    <w:rsid w:val="002C129F"/>
    <w:rPr>
      <w:rFonts w:cs="David"/>
      <w:noProof w:val="0"/>
    </w:rPr>
  </w:style>
  <w:style w:type="paragraph" w:styleId="affb">
    <w:name w:val="footnote text"/>
    <w:basedOn w:val="a1"/>
    <w:link w:val="affc"/>
    <w:semiHidden/>
    <w:unhideWhenUsed/>
    <w:rsid w:val="002C129F"/>
    <w:rPr>
      <w:sz w:val="20"/>
      <w:szCs w:val="20"/>
    </w:rPr>
  </w:style>
  <w:style w:type="character" w:customStyle="1" w:styleId="affc">
    <w:name w:val="טקסט הערת שוליים תו"/>
    <w:basedOn w:val="a2"/>
    <w:link w:val="affb"/>
    <w:semiHidden/>
    <w:rsid w:val="002C129F"/>
    <w:rPr>
      <w:rFonts w:cs="David"/>
      <w:noProof w:val="0"/>
    </w:rPr>
  </w:style>
  <w:style w:type="paragraph" w:styleId="affd">
    <w:name w:val="macro"/>
    <w:link w:val="affe"/>
    <w:semiHidden/>
    <w:unhideWhenUsed/>
    <w:rsid w:val="002C129F"/>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2C129F"/>
    <w:rPr>
      <w:rFonts w:ascii="Consolas" w:hAnsi="Consolas" w:cs="David"/>
      <w:noProof w:val="0"/>
    </w:rPr>
  </w:style>
  <w:style w:type="paragraph" w:styleId="afff">
    <w:name w:val="Plain Text"/>
    <w:basedOn w:val="a1"/>
    <w:link w:val="afff0"/>
    <w:semiHidden/>
    <w:unhideWhenUsed/>
    <w:rsid w:val="002C129F"/>
    <w:rPr>
      <w:rFonts w:ascii="Consolas" w:hAnsi="Consolas"/>
      <w:sz w:val="21"/>
      <w:szCs w:val="21"/>
    </w:rPr>
  </w:style>
  <w:style w:type="character" w:customStyle="1" w:styleId="afff0">
    <w:name w:val="טקסט רגיל תו"/>
    <w:basedOn w:val="a2"/>
    <w:link w:val="afff"/>
    <w:semiHidden/>
    <w:rsid w:val="002C129F"/>
    <w:rPr>
      <w:rFonts w:ascii="Consolas" w:hAnsi="Consolas" w:cs="David"/>
      <w:noProof w:val="0"/>
      <w:sz w:val="21"/>
      <w:szCs w:val="21"/>
    </w:rPr>
  </w:style>
  <w:style w:type="character" w:styleId="afff1">
    <w:name w:val="Book Title"/>
    <w:basedOn w:val="a2"/>
    <w:uiPriority w:val="33"/>
    <w:qFormat/>
    <w:rsid w:val="002C129F"/>
    <w:rPr>
      <w:b/>
      <w:bCs/>
      <w:i/>
      <w:iCs/>
      <w:noProof w:val="0"/>
      <w:spacing w:val="5"/>
    </w:rPr>
  </w:style>
  <w:style w:type="character" w:customStyle="1" w:styleId="10">
    <w:name w:val="כותרת 1 תו"/>
    <w:basedOn w:val="a2"/>
    <w:link w:val="1"/>
    <w:rsid w:val="002C129F"/>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2C129F"/>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2C129F"/>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2C129F"/>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2C129F"/>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2C129F"/>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2C129F"/>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2C129F"/>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2C129F"/>
    <w:rPr>
      <w:rFonts w:asciiTheme="majorHAnsi" w:eastAsiaTheme="majorEastAsia" w:hAnsiTheme="majorHAnsi" w:cstheme="majorBidi"/>
      <w:b/>
      <w:bCs/>
    </w:rPr>
  </w:style>
  <w:style w:type="paragraph" w:styleId="afff3">
    <w:name w:val="Note Heading"/>
    <w:basedOn w:val="a1"/>
    <w:next w:val="a1"/>
    <w:link w:val="afff4"/>
    <w:semiHidden/>
    <w:unhideWhenUsed/>
    <w:rsid w:val="002C129F"/>
  </w:style>
  <w:style w:type="character" w:customStyle="1" w:styleId="afff4">
    <w:name w:val="כותרת הערות תו"/>
    <w:basedOn w:val="a2"/>
    <w:link w:val="afff3"/>
    <w:semiHidden/>
    <w:rsid w:val="002C129F"/>
    <w:rPr>
      <w:rFonts w:cs="David"/>
      <w:noProof w:val="0"/>
      <w:sz w:val="24"/>
      <w:szCs w:val="24"/>
    </w:rPr>
  </w:style>
  <w:style w:type="paragraph" w:styleId="afff5">
    <w:name w:val="Title"/>
    <w:basedOn w:val="a1"/>
    <w:next w:val="a1"/>
    <w:link w:val="afff6"/>
    <w:qFormat/>
    <w:rsid w:val="002C129F"/>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2C129F"/>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2C12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2C129F"/>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2C129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2C129F"/>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2C129F"/>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2C129F"/>
    <w:pPr>
      <w:outlineLvl w:val="9"/>
    </w:pPr>
  </w:style>
  <w:style w:type="paragraph" w:styleId="afffd">
    <w:name w:val="caption"/>
    <w:basedOn w:val="a1"/>
    <w:next w:val="a1"/>
    <w:semiHidden/>
    <w:unhideWhenUsed/>
    <w:qFormat/>
    <w:rsid w:val="002C129F"/>
    <w:pPr>
      <w:spacing w:after="200"/>
    </w:pPr>
    <w:rPr>
      <w:i/>
      <w:iCs/>
      <w:color w:val="1F497D" w:themeColor="text2"/>
      <w:sz w:val="18"/>
      <w:szCs w:val="18"/>
    </w:rPr>
  </w:style>
  <w:style w:type="paragraph" w:styleId="afffe">
    <w:name w:val="Body Text Indent"/>
    <w:basedOn w:val="a1"/>
    <w:link w:val="affff"/>
    <w:semiHidden/>
    <w:unhideWhenUsed/>
    <w:rsid w:val="002C129F"/>
    <w:pPr>
      <w:spacing w:after="120"/>
      <w:ind w:left="283"/>
    </w:pPr>
  </w:style>
  <w:style w:type="character" w:customStyle="1" w:styleId="affff">
    <w:name w:val="כניסה בגוף טקסט תו"/>
    <w:basedOn w:val="a2"/>
    <w:link w:val="afffe"/>
    <w:semiHidden/>
    <w:rsid w:val="002C129F"/>
    <w:rPr>
      <w:rFonts w:cs="David"/>
      <w:noProof w:val="0"/>
      <w:sz w:val="24"/>
      <w:szCs w:val="24"/>
    </w:rPr>
  </w:style>
  <w:style w:type="paragraph" w:styleId="2f">
    <w:name w:val="Body Text Indent 2"/>
    <w:basedOn w:val="a1"/>
    <w:link w:val="2f0"/>
    <w:semiHidden/>
    <w:unhideWhenUsed/>
    <w:rsid w:val="002C129F"/>
    <w:pPr>
      <w:spacing w:after="120" w:line="480" w:lineRule="auto"/>
      <w:ind w:left="283"/>
    </w:pPr>
  </w:style>
  <w:style w:type="character" w:customStyle="1" w:styleId="2f0">
    <w:name w:val="כניסה בגוף טקסט 2 תו"/>
    <w:basedOn w:val="a2"/>
    <w:link w:val="2f"/>
    <w:semiHidden/>
    <w:rsid w:val="002C129F"/>
    <w:rPr>
      <w:rFonts w:cs="David"/>
      <w:noProof w:val="0"/>
      <w:sz w:val="24"/>
      <w:szCs w:val="24"/>
    </w:rPr>
  </w:style>
  <w:style w:type="paragraph" w:styleId="3d">
    <w:name w:val="Body Text Indent 3"/>
    <w:basedOn w:val="a1"/>
    <w:link w:val="3e"/>
    <w:semiHidden/>
    <w:unhideWhenUsed/>
    <w:rsid w:val="002C129F"/>
    <w:pPr>
      <w:spacing w:after="120"/>
      <w:ind w:left="283"/>
    </w:pPr>
    <w:rPr>
      <w:sz w:val="16"/>
      <w:szCs w:val="16"/>
    </w:rPr>
  </w:style>
  <w:style w:type="character" w:customStyle="1" w:styleId="3e">
    <w:name w:val="כניסה בגוף טקסט 3 תו"/>
    <w:basedOn w:val="a2"/>
    <w:link w:val="3d"/>
    <w:semiHidden/>
    <w:rsid w:val="002C129F"/>
    <w:rPr>
      <w:rFonts w:cs="David"/>
      <w:noProof w:val="0"/>
      <w:sz w:val="16"/>
      <w:szCs w:val="16"/>
    </w:rPr>
  </w:style>
  <w:style w:type="paragraph" w:styleId="affff0">
    <w:name w:val="Normal Indent"/>
    <w:basedOn w:val="a1"/>
    <w:semiHidden/>
    <w:unhideWhenUsed/>
    <w:rsid w:val="002C129F"/>
    <w:pPr>
      <w:ind w:left="720"/>
    </w:pPr>
  </w:style>
  <w:style w:type="paragraph" w:styleId="affff1">
    <w:name w:val="Body Text First Indent"/>
    <w:basedOn w:val="af4"/>
    <w:link w:val="affff2"/>
    <w:rsid w:val="002C129F"/>
    <w:pPr>
      <w:spacing w:after="0"/>
      <w:ind w:firstLine="360"/>
    </w:pPr>
  </w:style>
  <w:style w:type="character" w:customStyle="1" w:styleId="affff2">
    <w:name w:val="כניסת שורה ראשונה בגוף טקסט תו"/>
    <w:basedOn w:val="af5"/>
    <w:link w:val="affff1"/>
    <w:rsid w:val="002C129F"/>
    <w:rPr>
      <w:rFonts w:cs="David"/>
      <w:noProof w:val="0"/>
      <w:sz w:val="24"/>
      <w:szCs w:val="24"/>
    </w:rPr>
  </w:style>
  <w:style w:type="paragraph" w:styleId="2f1">
    <w:name w:val="Body Text First Indent 2"/>
    <w:basedOn w:val="afffe"/>
    <w:link w:val="2f2"/>
    <w:semiHidden/>
    <w:unhideWhenUsed/>
    <w:rsid w:val="002C129F"/>
    <w:pPr>
      <w:spacing w:after="0"/>
      <w:ind w:left="360" w:firstLine="360"/>
    </w:pPr>
  </w:style>
  <w:style w:type="character" w:customStyle="1" w:styleId="2f2">
    <w:name w:val="כניסת שורה ראשונה בגוף טקסט 2 תו"/>
    <w:basedOn w:val="affff"/>
    <w:link w:val="2f1"/>
    <w:semiHidden/>
    <w:rsid w:val="002C129F"/>
    <w:rPr>
      <w:rFonts w:cs="David"/>
      <w:noProof w:val="0"/>
      <w:sz w:val="24"/>
      <w:szCs w:val="24"/>
    </w:rPr>
  </w:style>
  <w:style w:type="paragraph" w:styleId="HTML2">
    <w:name w:val="HTML Address"/>
    <w:basedOn w:val="a1"/>
    <w:link w:val="HTML3"/>
    <w:semiHidden/>
    <w:unhideWhenUsed/>
    <w:rsid w:val="002C129F"/>
    <w:rPr>
      <w:i/>
      <w:iCs/>
    </w:rPr>
  </w:style>
  <w:style w:type="character" w:customStyle="1" w:styleId="HTML3">
    <w:name w:val="כתובת HTML תו"/>
    <w:basedOn w:val="a2"/>
    <w:link w:val="HTML2"/>
    <w:semiHidden/>
    <w:rsid w:val="002C129F"/>
    <w:rPr>
      <w:rFonts w:cs="David"/>
      <w:i/>
      <w:iCs/>
      <w:noProof w:val="0"/>
      <w:sz w:val="24"/>
      <w:szCs w:val="24"/>
    </w:rPr>
  </w:style>
  <w:style w:type="paragraph" w:styleId="affff3">
    <w:name w:val="envelope address"/>
    <w:basedOn w:val="a1"/>
    <w:semiHidden/>
    <w:unhideWhenUsed/>
    <w:rsid w:val="002C129F"/>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2C129F"/>
    <w:rPr>
      <w:rFonts w:asciiTheme="majorHAnsi" w:eastAsiaTheme="majorEastAsia" w:hAnsiTheme="majorHAnsi" w:cstheme="majorBidi"/>
      <w:sz w:val="20"/>
      <w:szCs w:val="20"/>
    </w:rPr>
  </w:style>
  <w:style w:type="paragraph" w:styleId="affff5">
    <w:name w:val="No Spacing"/>
    <w:uiPriority w:val="1"/>
    <w:qFormat/>
    <w:rsid w:val="002C129F"/>
    <w:pPr>
      <w:bidi/>
    </w:pPr>
    <w:rPr>
      <w:rFonts w:cs="David"/>
      <w:sz w:val="24"/>
      <w:szCs w:val="24"/>
    </w:rPr>
  </w:style>
  <w:style w:type="character" w:styleId="HTML4">
    <w:name w:val="HTML Typewriter"/>
    <w:basedOn w:val="a2"/>
    <w:semiHidden/>
    <w:unhideWhenUsed/>
    <w:rsid w:val="002C129F"/>
    <w:rPr>
      <w:rFonts w:ascii="Consolas" w:hAnsi="Consolas"/>
      <w:noProof w:val="0"/>
      <w:sz w:val="20"/>
      <w:szCs w:val="20"/>
    </w:rPr>
  </w:style>
  <w:style w:type="paragraph" w:styleId="affff6">
    <w:name w:val="Document Map"/>
    <w:basedOn w:val="a1"/>
    <w:link w:val="affff7"/>
    <w:semiHidden/>
    <w:unhideWhenUsed/>
    <w:rsid w:val="002C129F"/>
    <w:rPr>
      <w:rFonts w:ascii="Tahoma" w:hAnsi="Tahoma" w:cs="Tahoma"/>
      <w:sz w:val="16"/>
      <w:szCs w:val="16"/>
    </w:rPr>
  </w:style>
  <w:style w:type="character" w:customStyle="1" w:styleId="affff7">
    <w:name w:val="מפת מסמך תו"/>
    <w:basedOn w:val="a2"/>
    <w:link w:val="affff6"/>
    <w:semiHidden/>
    <w:rsid w:val="002C129F"/>
    <w:rPr>
      <w:rFonts w:ascii="Tahoma" w:hAnsi="Tahoma" w:cs="Tahoma"/>
      <w:noProof w:val="0"/>
      <w:sz w:val="16"/>
      <w:szCs w:val="16"/>
    </w:rPr>
  </w:style>
  <w:style w:type="character" w:styleId="HTML5">
    <w:name w:val="HTML Keyboard"/>
    <w:basedOn w:val="a2"/>
    <w:semiHidden/>
    <w:unhideWhenUsed/>
    <w:rsid w:val="002C129F"/>
    <w:rPr>
      <w:rFonts w:ascii="Consolas" w:hAnsi="Consolas"/>
      <w:noProof w:val="0"/>
      <w:sz w:val="20"/>
      <w:szCs w:val="20"/>
    </w:rPr>
  </w:style>
  <w:style w:type="paragraph" w:styleId="affff8">
    <w:name w:val="annotation subject"/>
    <w:basedOn w:val="a9"/>
    <w:next w:val="a9"/>
    <w:link w:val="affff9"/>
    <w:semiHidden/>
    <w:unhideWhenUsed/>
    <w:rsid w:val="002C129F"/>
    <w:rPr>
      <w:rFonts w:cs="David"/>
      <w:b/>
      <w:bCs/>
      <w:sz w:val="20"/>
      <w:szCs w:val="20"/>
    </w:rPr>
  </w:style>
  <w:style w:type="character" w:customStyle="1" w:styleId="aa">
    <w:name w:val="טקסט הערה תו"/>
    <w:basedOn w:val="a2"/>
    <w:link w:val="a9"/>
    <w:semiHidden/>
    <w:rsid w:val="002C129F"/>
    <w:rPr>
      <w:noProof w:val="0"/>
      <w:sz w:val="24"/>
      <w:szCs w:val="24"/>
    </w:rPr>
  </w:style>
  <w:style w:type="character" w:customStyle="1" w:styleId="affff9">
    <w:name w:val="נושא הערה תו"/>
    <w:basedOn w:val="aa"/>
    <w:link w:val="affff8"/>
    <w:semiHidden/>
    <w:rsid w:val="002C129F"/>
    <w:rPr>
      <w:rFonts w:cs="David"/>
      <w:b/>
      <w:bCs/>
      <w:noProof w:val="0"/>
      <w:sz w:val="24"/>
      <w:szCs w:val="24"/>
    </w:rPr>
  </w:style>
  <w:style w:type="table" w:styleId="affffa">
    <w:name w:val="Table Theme"/>
    <w:basedOn w:val="a3"/>
    <w:semiHidden/>
    <w:unhideWhenUsed/>
    <w:rsid w:val="002C129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2C129F"/>
    <w:pPr>
      <w:ind w:left="4252"/>
    </w:pPr>
  </w:style>
  <w:style w:type="character" w:customStyle="1" w:styleId="affffc">
    <w:name w:val="סיום תו"/>
    <w:basedOn w:val="a2"/>
    <w:link w:val="affffb"/>
    <w:semiHidden/>
    <w:rsid w:val="002C129F"/>
    <w:rPr>
      <w:rFonts w:cs="David"/>
      <w:noProof w:val="0"/>
      <w:sz w:val="24"/>
      <w:szCs w:val="24"/>
    </w:rPr>
  </w:style>
  <w:style w:type="table" w:styleId="1b">
    <w:name w:val="Table Columns 1"/>
    <w:basedOn w:val="a3"/>
    <w:semiHidden/>
    <w:unhideWhenUsed/>
    <w:rsid w:val="002C129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2C129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2C129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2C129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C129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List Paragraph"/>
    <w:basedOn w:val="a1"/>
    <w:uiPriority w:val="34"/>
    <w:qFormat/>
    <w:rsid w:val="002C129F"/>
    <w:pPr>
      <w:ind w:left="720"/>
      <w:contextualSpacing/>
    </w:pPr>
  </w:style>
  <w:style w:type="paragraph" w:styleId="affffe">
    <w:name w:val="Quote"/>
    <w:basedOn w:val="a1"/>
    <w:next w:val="a1"/>
    <w:link w:val="afffff"/>
    <w:uiPriority w:val="29"/>
    <w:qFormat/>
    <w:rsid w:val="002C129F"/>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2C129F"/>
    <w:rPr>
      <w:rFonts w:cs="David"/>
      <w:i/>
      <w:iCs/>
      <w:noProof w:val="0"/>
      <w:color w:val="404040" w:themeColor="text1" w:themeTint="BF"/>
      <w:sz w:val="24"/>
      <w:szCs w:val="24"/>
    </w:rPr>
  </w:style>
  <w:style w:type="paragraph" w:styleId="afffff0">
    <w:name w:val="Intense Quote"/>
    <w:basedOn w:val="a1"/>
    <w:next w:val="a1"/>
    <w:link w:val="afffff1"/>
    <w:uiPriority w:val="30"/>
    <w:qFormat/>
    <w:rsid w:val="002C129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2C129F"/>
    <w:rPr>
      <w:rFonts w:cs="David"/>
      <w:i/>
      <w:iCs/>
      <w:noProof w:val="0"/>
      <w:color w:val="4F81BD" w:themeColor="accent1"/>
      <w:sz w:val="24"/>
      <w:szCs w:val="24"/>
    </w:rPr>
  </w:style>
  <w:style w:type="character" w:styleId="HTML6">
    <w:name w:val="HTML Acronym"/>
    <w:basedOn w:val="a2"/>
    <w:semiHidden/>
    <w:unhideWhenUsed/>
    <w:rsid w:val="002C129F"/>
    <w:rPr>
      <w:noProof w:val="0"/>
    </w:rPr>
  </w:style>
  <w:style w:type="paragraph" w:styleId="afffff2">
    <w:name w:val="List"/>
    <w:basedOn w:val="a1"/>
    <w:semiHidden/>
    <w:unhideWhenUsed/>
    <w:rsid w:val="002C129F"/>
    <w:pPr>
      <w:ind w:left="283" w:hanging="283"/>
      <w:contextualSpacing/>
    </w:pPr>
  </w:style>
  <w:style w:type="paragraph" w:styleId="2f4">
    <w:name w:val="List 2"/>
    <w:basedOn w:val="a1"/>
    <w:semiHidden/>
    <w:unhideWhenUsed/>
    <w:rsid w:val="002C129F"/>
    <w:pPr>
      <w:ind w:left="566" w:hanging="283"/>
      <w:contextualSpacing/>
    </w:pPr>
  </w:style>
  <w:style w:type="paragraph" w:styleId="3f0">
    <w:name w:val="List 3"/>
    <w:basedOn w:val="a1"/>
    <w:semiHidden/>
    <w:unhideWhenUsed/>
    <w:rsid w:val="002C129F"/>
    <w:pPr>
      <w:ind w:left="849" w:hanging="283"/>
      <w:contextualSpacing/>
    </w:pPr>
  </w:style>
  <w:style w:type="paragraph" w:styleId="48">
    <w:name w:val="List 4"/>
    <w:basedOn w:val="a1"/>
    <w:rsid w:val="002C129F"/>
    <w:pPr>
      <w:ind w:left="1132" w:hanging="283"/>
      <w:contextualSpacing/>
    </w:pPr>
  </w:style>
  <w:style w:type="paragraph" w:styleId="58">
    <w:name w:val="List 5"/>
    <w:basedOn w:val="a1"/>
    <w:rsid w:val="002C129F"/>
    <w:pPr>
      <w:ind w:left="1415" w:hanging="283"/>
      <w:contextualSpacing/>
    </w:pPr>
  </w:style>
  <w:style w:type="table" w:styleId="afffff3">
    <w:name w:val="Light List"/>
    <w:basedOn w:val="a3"/>
    <w:uiPriority w:val="61"/>
    <w:semiHidden/>
    <w:unhideWhenUsed/>
    <w:rsid w:val="002C12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C12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C12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C12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C12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C12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C12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2C129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2C129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2C129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2C129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C129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C129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C129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C129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2C12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C12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C129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C129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C129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C129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C129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2C129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C129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C129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C129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C129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C129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C129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C129F"/>
    <w:pPr>
      <w:numPr>
        <w:numId w:val="1"/>
      </w:numPr>
      <w:contextualSpacing/>
    </w:pPr>
  </w:style>
  <w:style w:type="paragraph" w:styleId="2">
    <w:name w:val="List Number 2"/>
    <w:basedOn w:val="a1"/>
    <w:semiHidden/>
    <w:unhideWhenUsed/>
    <w:rsid w:val="002C129F"/>
    <w:pPr>
      <w:numPr>
        <w:numId w:val="2"/>
      </w:numPr>
      <w:contextualSpacing/>
    </w:pPr>
  </w:style>
  <w:style w:type="paragraph" w:styleId="3">
    <w:name w:val="List Number 3"/>
    <w:basedOn w:val="a1"/>
    <w:semiHidden/>
    <w:unhideWhenUsed/>
    <w:rsid w:val="002C129F"/>
    <w:pPr>
      <w:numPr>
        <w:numId w:val="3"/>
      </w:numPr>
      <w:contextualSpacing/>
    </w:pPr>
  </w:style>
  <w:style w:type="paragraph" w:styleId="4">
    <w:name w:val="List Number 4"/>
    <w:basedOn w:val="a1"/>
    <w:semiHidden/>
    <w:unhideWhenUsed/>
    <w:rsid w:val="002C129F"/>
    <w:pPr>
      <w:numPr>
        <w:numId w:val="4"/>
      </w:numPr>
      <w:contextualSpacing/>
    </w:pPr>
  </w:style>
  <w:style w:type="paragraph" w:styleId="5">
    <w:name w:val="List Number 5"/>
    <w:basedOn w:val="a1"/>
    <w:semiHidden/>
    <w:unhideWhenUsed/>
    <w:rsid w:val="002C129F"/>
    <w:pPr>
      <w:numPr>
        <w:numId w:val="5"/>
      </w:numPr>
      <w:contextualSpacing/>
    </w:pPr>
  </w:style>
  <w:style w:type="paragraph" w:styleId="a0">
    <w:name w:val="List Bullet"/>
    <w:basedOn w:val="a1"/>
    <w:semiHidden/>
    <w:unhideWhenUsed/>
    <w:rsid w:val="002C129F"/>
    <w:pPr>
      <w:numPr>
        <w:numId w:val="6"/>
      </w:numPr>
      <w:contextualSpacing/>
    </w:pPr>
  </w:style>
  <w:style w:type="paragraph" w:styleId="20">
    <w:name w:val="List Bullet 2"/>
    <w:basedOn w:val="a1"/>
    <w:semiHidden/>
    <w:unhideWhenUsed/>
    <w:rsid w:val="002C129F"/>
    <w:pPr>
      <w:numPr>
        <w:numId w:val="7"/>
      </w:numPr>
      <w:contextualSpacing/>
    </w:pPr>
  </w:style>
  <w:style w:type="paragraph" w:styleId="30">
    <w:name w:val="List Bullet 3"/>
    <w:basedOn w:val="a1"/>
    <w:semiHidden/>
    <w:unhideWhenUsed/>
    <w:rsid w:val="002C129F"/>
    <w:pPr>
      <w:numPr>
        <w:numId w:val="8"/>
      </w:numPr>
      <w:contextualSpacing/>
    </w:pPr>
  </w:style>
  <w:style w:type="paragraph" w:styleId="40">
    <w:name w:val="List Bullet 4"/>
    <w:basedOn w:val="a1"/>
    <w:semiHidden/>
    <w:unhideWhenUsed/>
    <w:rsid w:val="002C129F"/>
    <w:pPr>
      <w:numPr>
        <w:numId w:val="9"/>
      </w:numPr>
      <w:contextualSpacing/>
    </w:pPr>
  </w:style>
  <w:style w:type="paragraph" w:styleId="50">
    <w:name w:val="List Bullet 5"/>
    <w:basedOn w:val="a1"/>
    <w:semiHidden/>
    <w:unhideWhenUsed/>
    <w:rsid w:val="002C129F"/>
    <w:pPr>
      <w:numPr>
        <w:numId w:val="10"/>
      </w:numPr>
      <w:contextualSpacing/>
    </w:pPr>
  </w:style>
  <w:style w:type="table" w:styleId="afffff5">
    <w:name w:val="Colorful List"/>
    <w:basedOn w:val="a3"/>
    <w:uiPriority w:val="72"/>
    <w:semiHidden/>
    <w:unhideWhenUsed/>
    <w:rsid w:val="002C129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C129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C129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C129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C129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C129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C129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2C129F"/>
  </w:style>
  <w:style w:type="paragraph" w:styleId="afffff7">
    <w:name w:val="table of authorities"/>
    <w:basedOn w:val="a1"/>
    <w:next w:val="a1"/>
    <w:semiHidden/>
    <w:unhideWhenUsed/>
    <w:rsid w:val="002C129F"/>
    <w:pPr>
      <w:ind w:left="240" w:hanging="240"/>
    </w:pPr>
  </w:style>
  <w:style w:type="table" w:styleId="afffff8">
    <w:name w:val="Light Grid"/>
    <w:basedOn w:val="a3"/>
    <w:uiPriority w:val="62"/>
    <w:semiHidden/>
    <w:unhideWhenUsed/>
    <w:rsid w:val="002C12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C12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C12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C12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C12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C12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C12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C12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2C12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C12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C12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C12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C12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C12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C129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C12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2C129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2C129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2C129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2C129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C129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C129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C129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C129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2C129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C129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2C129F"/>
  </w:style>
  <w:style w:type="character" w:customStyle="1" w:styleId="afffffc">
    <w:name w:val="תאריך תו"/>
    <w:basedOn w:val="a2"/>
    <w:link w:val="afffffb"/>
    <w:rsid w:val="002C129F"/>
    <w:rPr>
      <w:rFonts w:cs="David"/>
      <w:noProof w:val="0"/>
      <w:sz w:val="24"/>
      <w:szCs w:val="24"/>
    </w:rPr>
  </w:style>
  <w:style w:type="paragraph" w:customStyle="1" w:styleId="Ruller40">
    <w:name w:val="Ruller4"/>
    <w:basedOn w:val="a1"/>
    <w:rsid w:val="00AD6F0B"/>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4">
    <w:name w:val="Ruller 4 ממוספר"/>
    <w:basedOn w:val="Ruller40"/>
    <w:next w:val="Ruller40"/>
    <w:rsid w:val="00AD6F0B"/>
    <w:pPr>
      <w:numPr>
        <w:numId w:val="11"/>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31422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9184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settings" Target="settings.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styles" Target="styles.xm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endnotes" Target="endnote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numbering" Target="numbering.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footnotes" Target="footnotes.xml"/><Relationship Id="rId23" Type="http://schemas.openxmlformats.org/officeDocument/2006/relationships/footer" Target="footer2.xml"/><Relationship Id="rId10" Type="http://schemas.openxmlformats.org/officeDocument/2006/relationships/customXml" Target="../customXml/item9.xml"/><Relationship Id="rId19" Type="http://schemas.openxmlformats.org/officeDocument/2006/relationships/image" Target="media/image3.jpe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2.xml>
</file>

<file path=customXml/item3.xml>
</file>

<file path=customXml/item4.xml>
</file>

<file path=customXml/item5.xml>
</file>

<file path=customXml/item6.xml>
</file>

<file path=customXml/item7.xml><?xml version="1.0" encoding="utf-8"?>
<DecisionTemplateDS>
  <dt_Decision>
    <DecisionID>0</DecisionID>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שי זילברברג</FullName>
        <FirstName>שי</FirstName>
        <LastName>זילברברג</LastName>
        <PartyPropertyName/>
        <AuthenticationTypeAndNumber>מ.ר. 65277</AuthenticationTypeAndNumber>
        <RepresentatedOrRepresentativesNames> המרכז לקידום מעמד האשה ע"ש רות ועמנואל רקמן באוניב</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275287679</CasePartyID>
        <PartyTypeID>2</PartyTypeID>
        <ActivityStatusID>1</ActivityStatusID>
        <PartyAliasID>33</PartyAliasID>
        <PartyAliasName>בא כוח עותרים</PartyAliasName>
        <OrdinalNumber>1</OrdinalNumber>
        <LegalEntityID>75511068</LegalEntityID>
        <CaseLegalEntityID>131687729</CaseLegalEntityID>
        <AuthenticationTypeID>4</AuthenticationTypeID>
        <AuthenticationTypeName>מ.ר.</AuthenticationTypeName>
        <LegalEntityNumber>65277</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מרכז רקמן-משפטים אונברסיטת בר אילן, רמת גן</FullAddress>
        <EmailAddress>zilberberg@gmail.com</EmailAddress>
        <MotionID>0</MotionID>
        <CasePleaID>0</CasePleaID>
        <LinkedCaseID>0</LinkedCaseID>
        <PartyID>1</PartyID>
        <CasePartyCategoryID>2</CasePartyCategoryID>
        <LegalEntityAddressID>90634207</LegalEntityAddressID>
        <LegalEntityEmailAddressID>68030986</LegalEntityEmailAddressID>
        <PleaTypeID>20</PleaTypeID>
        <GroupPartyAlias/>
        <IsConverted>true</IsConverted>
        <LegalEntityNameID>82074322</LegalEntityNameID>
        <RepresentatedNamesOfAssistant/>
        <LegalEntityTypeID>4</LegalEntityTypeID>
        <IsVerdictExists>false</IsVerdictExists>
        <IsAsirAzir>false</IsAsirAzir>
        <MainAndSecSpec/>
        <IsPublicationProhibited>false</IsPublicationProhibited>
        <PublicationProhibitedFullName>שי זילברברג</PublicationProhibitedFullName>
      </CaseParties>
      <CaseParties>
        <PartyTypeName>צד</PartyTypeName>
        <ProceedingType>כתב טענות עיקרי</ProceedingType>
        <PleaName>עתירה</PleaName>
        <PartyBelonging>צד א'</PartyBelonging>
        <RoleName>עותר 1</RoleName>
        <IsSubProceeding>FALSE</IsSubProceeding>
        <FullName>המרכז לקידום מעמד האשה ע"ש רות ועמנואל רקמן באוניב</FullName>
        <FirstName/>
        <LastName>המרכז לקידום מעמד האשה ע"ש רות ועמנואל רקמן באוניב</LastName>
        <PartyPropertyName/>
        <AuthenticationTypeAndNumber>ת"ז </AuthenticationTypeAndNumber>
        <RepresentatedOrRepresentativesNames>שי זילברברג</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275287672</CasePartyID>
        <PartyTypeID>1</PartyTypeID>
        <ActivityStatusID>1</ActivityStatusID>
        <PartyAliasID>14</PartyAliasID>
        <PartyAliasName>עותר</PartyAliasName>
        <OrdinalNumber>1</OrdinalNumber>
        <LegalEntityID>82863364</LegalEntityID>
        <CaseLegalEntityID>131687727</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97984424</LegalEntityNameID>
        <RepresentatedNamesOfAssistant/>
        <LegalEntityTypeID>1</LegalEntityTypeID>
        <IsVerdictExists>false</IsVerdictExists>
        <IsAsirAzir>false</IsAsirAzir>
        <MainAndSecSpec/>
        <IsPublicationProhibited>false</IsPublicationProhibited>
        <PublicationProhibitedFullName>המרכז לקידום מעמד האשה ע"ש רות ועמנואל רקמן באוניב</PublicationProhibitedFullName>
      </CaseParties>
      <CaseParties>
        <PartyTypeName>צד</PartyTypeName>
        <ProceedingType>כתב טענות עיקרי</ProceedingType>
        <PleaName>עתירה</PleaName>
        <PartyBelonging>צד ב'</PartyBelonging>
        <RoleName>משיב 1</RoleName>
        <IsSubProceeding>FALSE</IsSubProceeding>
        <FullName>כבוד ראש מועצת הרבנות הראשית לציון</FullName>
        <FirstName/>
        <LastName>כבוד ראש מועצת הרבנות הראשית לציון</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275287673</CasePartyID>
        <PartyTypeID>1</PartyTypeID>
        <ActivityStatusID>1</ActivityStatusID>
        <PartyAliasID>4</PartyAliasID>
        <PartyAliasName>משיב</PartyAliasName>
        <OrdinalNumber>1</OrdinalNumber>
        <LegalEntityID>82863404</LegalEntityID>
        <CaseLegalEntityID>131687725</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97984425</LegalEntityNameID>
        <RepresentatedNamesOfAssistant/>
        <LegalEntityTypeID>1</LegalEntityTypeID>
        <IsVerdictExists>false</IsVerdictExists>
        <IsAsirAzir>false</IsAsirAzir>
        <MainAndSecSpec/>
        <IsPublicationProhibited>false</IsPublicationProhibited>
        <PublicationProhibitedFullName>כבוד ראש מועצת הרבנות הראשית לציון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ענר הלמן</FullName>
        <FirstName>ענר</FirstName>
        <LastName>הלמן</LastName>
        <PartyPropertyName/>
        <AuthenticationTypeAndNumber>מ.ר. 18806</AuthenticationTypeAndNumber>
        <RepresentatedOrRepresentativesNames> היועצת המשפטית לממשלה,  הרשות לקידום מעמד האשה,  כבוד נשיא בית הדין הרבני הגדול,  כבוד ראש מועצת הרבנות הראשית לציון,  מועצת הרבנות הראשית לישראל,  ממשלת ישראל</RepresentatedOrRepresentativesNames>
        <RepresentatedOrRepresentativesCount>6</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275287680</CasePartyID>
        <PartyTypeID>2</PartyTypeID>
        <ActivityStatusID>1</ActivityStatusID>
        <PartyAliasID>23</PartyAliasID>
        <PartyAliasName>בא כוח משיבים</PartyAliasName>
        <OrdinalNumber>1</OrdinalNumber>
        <LegalEntityID>395460</LegalEntityID>
        <CaseLegalEntityID>131687731</CaseLegalEntityID>
        <AuthenticationTypeID>4</AuthenticationTypeID>
        <AuthenticationTypeName>מ.ר.</AuthenticationTypeName>
        <LegalEntityNumber>18806</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סלאח אדין29, ירושלים</FullAddress>
        <EmailAddress>hcj-dep@justice.gov</EmailAddress>
        <MotionID>0</MotionID>
        <CasePleaID>0</CasePleaID>
        <FatherName xml:space="preserve">        </FatherName>
        <LinkedCaseID>0</LinkedCaseID>
        <PartyID>2</PartyID>
        <CasePartyCategoryID>2</CasePartyCategoryID>
        <LegalEntityAddressID>90244808</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16444</LegalEntityNameID>
        <RepresentatedNamesOfAssistant/>
        <LegalEntityTypeID>4</LegalEntityTypeID>
        <IsVerdictExists>false</IsVerdictExists>
        <IsAsirAzir>false</IsAsirAzir>
        <MainAndSecSpec/>
        <IsPublicationProhibited>false</IsPublicationProhibited>
        <PublicationProhibitedFullName>ענר הלמן</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388350134</AuthenticationTypeAndNumber>
        <RepresentatedOrRepresentativesNames/>
        <RepresentatedOrRepresentativesCount>0</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275287681</CasePartyID>
        <PartyTypeID>3</PartyTypeID>
        <ActivityStatusID>1</ActivityStatusID>
        <OrdinalNumber>2</OrdinalNumber>
        <LegalEntityID>82164595</LegalEntityID>
        <CaseLegalEntityID>131687730</CaseLegalEntityID>
        <AssistantRoleID>33</AssistantRoleID>
        <AuthenticationTypeID>1</AuthenticationTypeID>
        <AuthenticationTypeName>ת"ז</AuthenticationTypeName>
        <LegalEntityNumber>388350134</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ת.ד. 6043, תל אביב</FullAddress>
        <MotionID>0</MotionID>
        <CasePleaID>0</CasePleaID>
        <FatherName/>
        <LinkedCaseID>0</LinkedCaseID>
        <CasePartyCategoryID>2</CasePartyCategoryID>
        <LegalEntityAddressID>90664425</LegalEntityAddressID>
        <PleaTypeID>20</PleaTypeID>
        <GroupPartyAlias/>
        <IsConverted>true</IsConverted>
        <LegalEntityNameID>97984431</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צד</PartyTypeName>
        <ProceedingType>כתב טענות עיקרי</ProceedingType>
        <PleaName>עתירה</PleaName>
        <PartyBelonging>צד ב'</PartyBelonging>
        <RoleName>משיב 2</RoleName>
        <IsSubProceeding>FALSE</IsSubProceeding>
        <FullName>כבוד נשיא בית הדין הרבני הגדול</FullName>
        <FirstName/>
        <LastName>כבוד נשיא בית הדין הרבני הגדול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275287674</CasePartyID>
        <PartyTypeID>1</PartyTypeID>
        <ActivityStatusID>1</ActivityStatusID>
        <PartyAliasID>4</PartyAliasID>
        <PartyAliasName>משיב</PartyAliasName>
        <OrdinalNumber>2</OrdinalNumber>
        <LegalEntityID>82863429</LegalEntityID>
        <CaseLegalEntityID>131687722</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97984426</LegalEntityNameID>
        <RepresentatedNamesOfAssistant/>
        <LegalEntityTypeID>1</LegalEntityTypeID>
        <IsVerdictExists>false</IsVerdictExists>
        <IsAsirAzir>false</IsAsirAzir>
        <MainAndSecSpec/>
        <IsPublicationProhibited>false</IsPublicationProhibited>
        <PublicationProhibitedFullName>כבוד נשיא בית הדין הרבני הגדול</PublicationProhibitedFullName>
      </CaseParties>
      <CaseParties>
        <PartyTypeName>צד</PartyTypeName>
        <ProceedingType>כתב טענות עיקרי</ProceedingType>
        <PleaName>עתירה</PleaName>
        <PartyBelonging>צד ב'</PartyBelonging>
        <RoleName>משיב 3</RoleName>
        <IsSubProceeding>FALSE</IsSubProceeding>
        <FullName>מועצת הרבנות הראשית לישראל</FullName>
        <FirstName/>
        <LastName>מועצת הרבנות הראשית לישראל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275287675</CasePartyID>
        <PartyTypeID>1</PartyTypeID>
        <ActivityStatusID>1</ActivityStatusID>
        <PartyAliasID>4</PartyAliasID>
        <PartyAliasName>משיב</PartyAliasName>
        <OrdinalNumber>3</OrdinalNumber>
        <LegalEntityID>82863365</LegalEntityID>
        <CaseLegalEntityID>131687728</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97984427</LegalEntityNameID>
        <RepresentatedNamesOfAssistant/>
        <LegalEntityTypeID>1</LegalEntityTypeID>
        <IsVerdictExists>false</IsVerdictExists>
        <IsAsirAzir>false</IsAsirAzir>
        <MainAndSecSpec/>
        <IsPublicationProhibited>false</IsPublicationProhibited>
        <PublicationProhibitedFullName>מועצת הרבנות הראשית לישראל</PublicationProhibitedFullName>
      </CaseParties>
      <CaseParties>
        <PartyTypeName>צד</PartyTypeName>
        <ProceedingType>כתב טענות עיקרי</ProceedingType>
        <PleaName>עתירה</PleaName>
        <PartyBelonging>צד ב'</PartyBelonging>
        <RoleName>משיב 4</RoleName>
        <IsSubProceeding>FALSE</IsSubProceeding>
        <FullName>ממשלת ישראל</FullName>
        <FirstName/>
        <LastName>ממשלת ישראל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275287676</CasePartyID>
        <PartyTypeID>1</PartyTypeID>
        <ActivityStatusID>1</ActivityStatusID>
        <PartyAliasID>4</PartyAliasID>
        <PartyAliasName>משיב</PartyAliasName>
        <OrdinalNumber>4</OrdinalNumber>
        <LegalEntityID>82863405</LegalEntityID>
        <CaseLegalEntityID>131687726</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97984428</LegalEntityNameID>
        <RepresentatedNamesOfAssistant/>
        <LegalEntityTypeID>1</LegalEntityTypeID>
        <IsVerdictExists>false</IsVerdictExists>
        <IsAsirAzir>false</IsAsirAzir>
        <MainAndSecSpec/>
        <IsPublicationProhibited>false</IsPublicationProhibited>
        <PublicationProhibitedFullName>ממשלת ישראל</PublicationProhibitedFullName>
      </CaseParties>
      <CaseParties>
        <PartyTypeName>צד</PartyTypeName>
        <ProceedingType>כתב טענות עיקרי</ProceedingType>
        <PleaName>עתירה</PleaName>
        <PartyBelonging>צד ב'</PartyBelonging>
        <RoleName>משיב 5</RoleName>
        <IsSubProceeding>FALSE</IsSubProceeding>
        <FullName>הרשות לקידום מעמד האשה</FullName>
        <FirstName/>
        <LastName>הרשות לקידום מעמד האשה</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275287677</CasePartyID>
        <PartyTypeID>1</PartyTypeID>
        <ActivityStatusID>1</ActivityStatusID>
        <PartyAliasID>4</PartyAliasID>
        <PartyAliasName>משיב</PartyAliasName>
        <OrdinalNumber>5</OrdinalNumber>
        <LegalEntityID>82863430</LegalEntityID>
        <CaseLegalEntityID>131687723</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97984429</LegalEntityNameID>
        <RepresentatedNamesOfAssistant/>
        <LegalEntityTypeID>1</LegalEntityTypeID>
        <IsVerdictExists>false</IsVerdictExists>
        <IsAsirAzir>false</IsAsirAzir>
        <MainAndSecSpec/>
        <IsPublicationProhibited>false</IsPublicationProhibited>
        <PublicationProhibitedFullName>הרשות לקידום מעמד האשה</PublicationProhibitedFullName>
      </CaseParties>
      <CaseParties>
        <PartyTypeName>צד</PartyTypeName>
        <ProceedingType>כתב טענות עיקרי</ProceedingType>
        <PleaName>עתירה</PleaName>
        <PartyBelonging>צד ב'</PartyBelonging>
        <RoleName>משיב 6</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275287678</CasePartyID>
        <PartyTypeID>1</PartyTypeID>
        <ActivityStatusID>1</ActivityStatusID>
        <PartyAliasID>4</PartyAliasID>
        <PartyAliasName>משיב</PartyAliasName>
        <OrdinalNumber>6</OrdinalNumber>
        <LegalEntityID>82863431</LegalEntityID>
        <CaseLegalEntityID>131687724</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97984430</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SelectionDS>
    <DecisionName>פסק דין  שניתנה ע"י  יעל וילנר</DecisionName>
    <CourtDisplayName>בית המשפט הגבוה לצדק</CourtDisplayName>
    <IsCaseJudgePanel>false</IsCaseJudgePanel>
    <DecisionSignatureDate>2024-08-08T11:44:11.2329957+03:00</DecisionSignatureDate>
    <OpenCaseDate>2024-05-23T00:00:00+03:00</OpenCaseDate>
    <DecisionTypeID>2</DecisionTypeID>
    <DecisionSignatureUserName>יעל וילנר</DecisionSignatureUserName>
    <DecisionSignatureDateHebrew>2024-08-08T11:44:11.2329957+03:00</DecisionSignatureDateHebrew>
    <DecisionWriterID>056062730@GOV.IL</DecisionWriterID>
    <CourtAddress>רח' דרך השופט מאיר שמגר, ירושלים 9195001</CourtAddress>
    <IsAutoTextInCaseExist>false</IsAutoTextInCaseExist>
    <DecisionSignatureRoleName>שופט</DecisionSignatureRoleName>
    <DecisionSignatureUserTitleName>שופטת</DecisionSignatureUserTitleName>
    <CaseName>המרכז לקידום מעמד האשה ע"ש רות ועמנואל רקמן באוניב  נ' כבוד ראש מועצת הרבנות הראשית לציון  ואח'</CaseName>
    <DecisionNumberInCase>25</DecisionNumberInCase>
    <DecisionMeetingDate>2024-08-08T00:00:00+03:00</DecisionMeetingDate>
  </dt_Decision>
  <dt_DecisionCase>
    <DecisionID>0</DecisionID>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שי זילברברג</FullName>
        <FirstName>שי</FirstName>
        <LastName>זילברברג</LastName>
        <PartyPropertyName/>
        <AuthenticationTypeAndNumber>מ.ר. 65277</AuthenticationTypeAndNumber>
        <RepresentatedOrRepresentativesNames> המרכז לקידום מעמד האשה ע"ש רות ועמנואל רקמן באוניב</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275287679</CasePartyID>
        <PartyTypeID>2</PartyTypeID>
        <ActivityStatusID>1</ActivityStatusID>
        <PartyAliasID>33</PartyAliasID>
        <PartyAliasName>בא כוח עותרים</PartyAliasName>
        <OrdinalNumber>1</OrdinalNumber>
        <LegalEntityID>75511068</LegalEntityID>
        <CaseLegalEntityID>131687729</CaseLegalEntityID>
        <AuthenticationTypeID>4</AuthenticationTypeID>
        <AuthenticationTypeName>מ.ר.</AuthenticationTypeName>
        <LegalEntityNumber>65277</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מרכז רקמן-משפטים אונברסיטת בר אילן, רמת גן</FullAddress>
        <EmailAddress>zilberberg@gmail.com</EmailAddress>
        <MotionID>0</MotionID>
        <CasePleaID>0</CasePleaID>
        <LinkedCaseID>0</LinkedCaseID>
        <PartyID>1</PartyID>
        <CasePartyCategoryID>2</CasePartyCategoryID>
        <LegalEntityAddressID>90634207</LegalEntityAddressID>
        <LegalEntityEmailAddressID>68030986</LegalEntityEmailAddressID>
        <PleaTypeID>20</PleaTypeID>
        <GroupPartyAlias/>
        <IsConverted>true</IsConverted>
        <LegalEntityNameID>82074322</LegalEntityNameID>
        <RepresentatedNamesOfAssistant/>
        <LegalEntityTypeID>4</LegalEntityTypeID>
        <IsVerdictExists>false</IsVerdictExists>
        <IsAsirAzir>false</IsAsirAzir>
        <MainAndSecSpec/>
        <IsPublicationProhibited>false</IsPublicationProhibited>
        <PublicationProhibitedFullName>שי זילברברג</PublicationProhibitedFullName>
      </CaseParties>
      <CaseParties>
        <PartyTypeName>צד</PartyTypeName>
        <ProceedingType>כתב טענות עיקרי</ProceedingType>
        <PleaName>עתירה</PleaName>
        <PartyBelonging>צד א'</PartyBelonging>
        <RoleName>עותר 1</RoleName>
        <IsSubProceeding>FALSE</IsSubProceeding>
        <FullName>המרכז לקידום מעמד האשה ע"ש רות ועמנואל רקמן באוניב</FullName>
        <FirstName/>
        <LastName>המרכז לקידום מעמד האשה ע"ש רות ועמנואל רקמן באוניב</LastName>
        <PartyPropertyName/>
        <AuthenticationTypeAndNumber>ת"ז </AuthenticationTypeAndNumber>
        <RepresentatedOrRepresentativesNames>שי זילברברג</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275287672</CasePartyID>
        <PartyTypeID>1</PartyTypeID>
        <ActivityStatusID>1</ActivityStatusID>
        <PartyAliasID>14</PartyAliasID>
        <PartyAliasName>עותר</PartyAliasName>
        <OrdinalNumber>1</OrdinalNumber>
        <LegalEntityID>82863364</LegalEntityID>
        <CaseLegalEntityID>131687727</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97984424</LegalEntityNameID>
        <RepresentatedNamesOfAssistant/>
        <LegalEntityTypeID>1</LegalEntityTypeID>
        <IsVerdictExists>false</IsVerdictExists>
        <IsAsirAzir>false</IsAsirAzir>
        <MainAndSecSpec/>
        <IsPublicationProhibited>false</IsPublicationProhibited>
        <PublicationProhibitedFullName>המרכז לקידום מעמד האשה ע"ש רות ועמנואל רקמן באוניב</PublicationProhibitedFullName>
      </CaseParties>
      <CaseParties>
        <PartyTypeName>צד</PartyTypeName>
        <ProceedingType>כתב טענות עיקרי</ProceedingType>
        <PleaName>עתירה</PleaName>
        <PartyBelonging>צד ב'</PartyBelonging>
        <RoleName>משיב 1</RoleName>
        <IsSubProceeding>FALSE</IsSubProceeding>
        <FullName>כבוד ראש מועצת הרבנות הראשית לציון</FullName>
        <FirstName/>
        <LastName>כבוד ראש מועצת הרבנות הראשית לציון</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275287673</CasePartyID>
        <PartyTypeID>1</PartyTypeID>
        <ActivityStatusID>1</ActivityStatusID>
        <PartyAliasID>4</PartyAliasID>
        <PartyAliasName>משיב</PartyAliasName>
        <OrdinalNumber>1</OrdinalNumber>
        <LegalEntityID>82863404</LegalEntityID>
        <CaseLegalEntityID>131687725</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97984425</LegalEntityNameID>
        <RepresentatedNamesOfAssistant/>
        <LegalEntityTypeID>1</LegalEntityTypeID>
        <IsVerdictExists>false</IsVerdictExists>
        <IsAsirAzir>false</IsAsirAzir>
        <MainAndSecSpec/>
        <IsPublicationProhibited>false</IsPublicationProhibited>
        <PublicationProhibitedFullName>כבוד ראש מועצת הרבנות הראשית לציון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ענר הלמן</FullName>
        <FirstName>ענר</FirstName>
        <LastName>הלמן</LastName>
        <PartyPropertyName/>
        <AuthenticationTypeAndNumber>מ.ר. 18806</AuthenticationTypeAndNumber>
        <RepresentatedOrRepresentativesNames> היועצת המשפטית לממשלה,  הרשות לקידום מעמד האשה,  כבוד נשיא בית הדין הרבני הגדול,  כבוד ראש מועצת הרבנות הראשית לציון,  מועצת הרבנות הראשית לישראל,  ממשלת ישראל</RepresentatedOrRepresentativesNames>
        <RepresentatedOrRepresentativesCount>6</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275287680</CasePartyID>
        <PartyTypeID>2</PartyTypeID>
        <ActivityStatusID>1</ActivityStatusID>
        <PartyAliasID>23</PartyAliasID>
        <PartyAliasName>בא כוח משיבים</PartyAliasName>
        <OrdinalNumber>1</OrdinalNumber>
        <LegalEntityID>395460</LegalEntityID>
        <CaseLegalEntityID>131687731</CaseLegalEntityID>
        <AuthenticationTypeID>4</AuthenticationTypeID>
        <AuthenticationTypeName>מ.ר.</AuthenticationTypeName>
        <LegalEntityNumber>18806</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סלאח אדין29, ירושלים</FullAddress>
        <EmailAddress>hcj-dep@justice.gov</EmailAddress>
        <MotionID>0</MotionID>
        <CasePleaID>0</CasePleaID>
        <FatherName xml:space="preserve">        </FatherName>
        <LinkedCaseID>0</LinkedCaseID>
        <PartyID>2</PartyID>
        <CasePartyCategoryID>2</CasePartyCategoryID>
        <LegalEntityAddressID>90244808</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16444</LegalEntityNameID>
        <RepresentatedNamesOfAssistant/>
        <LegalEntityTypeID>4</LegalEntityTypeID>
        <IsVerdictExists>false</IsVerdictExists>
        <IsAsirAzir>false</IsAsirAzir>
        <MainAndSecSpec/>
        <IsPublicationProhibited>false</IsPublicationProhibited>
        <PublicationProhibitedFullName>ענר הלמן</PublicationProhibitedFullName>
      </CaseParties>
      <CaseParties>
        <PartyTypeName>מסייע</PartyTypeName>
        <ProceedingType>כתב טענות עיקרי</ProceedingType>
        <PleaName>עתירה</PleaName>
        <PartyBelonging> - </PartyBelonging>
        <RoleName>אחר</RoleName>
        <IsSubProceeding>FALSE</IsSubProceeding>
        <FullName>חיים לוי</FullName>
        <FirstName>חיים</FirstName>
        <LastName>לוי</LastName>
        <PartyPropertyName/>
        <AuthenticationTypeAndNumber>ת"ז 388350134</AuthenticationTypeAndNumber>
        <RepresentatedOrRepresentativesNames/>
        <RepresentatedOrRepresentativesCount>0</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275287681</CasePartyID>
        <PartyTypeID>3</PartyTypeID>
        <ActivityStatusID>1</ActivityStatusID>
        <OrdinalNumber>2</OrdinalNumber>
        <LegalEntityID>82164595</LegalEntityID>
        <CaseLegalEntityID>131687730</CaseLegalEntityID>
        <AssistantRoleID>33</AssistantRoleID>
        <AuthenticationTypeID>1</AuthenticationTypeID>
        <AuthenticationTypeName>ת"ז</AuthenticationTypeName>
        <LegalEntityNumber>388350134</LegalEntityNumber>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ת.ד. 6043, תל אביב</FullAddress>
        <MotionID>0</MotionID>
        <CasePleaID>0</CasePleaID>
        <FatherName/>
        <LinkedCaseID>0</LinkedCaseID>
        <CasePartyCategoryID>2</CasePartyCategoryID>
        <LegalEntityAddressID>90664425</LegalEntityAddressID>
        <PleaTypeID>20</PleaTypeID>
        <GroupPartyAlias/>
        <IsConverted>true</IsConverted>
        <LegalEntityNameID>97984431</LegalEntityNameID>
        <RepresentatedNamesOfAssistant/>
        <LegalEntityTypeID>1</LegalEntityTypeID>
        <IsVerdictExists>false</IsVerdictExists>
        <IsAsirAzir>false</IsAsirAzir>
        <MainAndSecSpec/>
        <IsPublicationProhibited>false</IsPublicationProhibited>
        <PublicationProhibitedFullName>חיים לוי</PublicationProhibitedFullName>
      </CaseParties>
      <CaseParties>
        <PartyTypeName>צד</PartyTypeName>
        <ProceedingType>כתב טענות עיקרי</ProceedingType>
        <PleaName>עתירה</PleaName>
        <PartyBelonging>צד ב'</PartyBelonging>
        <RoleName>משיב 2</RoleName>
        <IsSubProceeding>FALSE</IsSubProceeding>
        <FullName>כבוד נשיא בית הדין הרבני הגדול</FullName>
        <FirstName/>
        <LastName>כבוד נשיא בית הדין הרבני הגדול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275287674</CasePartyID>
        <PartyTypeID>1</PartyTypeID>
        <ActivityStatusID>1</ActivityStatusID>
        <PartyAliasID>4</PartyAliasID>
        <PartyAliasName>משיב</PartyAliasName>
        <OrdinalNumber>2</OrdinalNumber>
        <LegalEntityID>82863429</LegalEntityID>
        <CaseLegalEntityID>131687722</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97984426</LegalEntityNameID>
        <RepresentatedNamesOfAssistant/>
        <LegalEntityTypeID>1</LegalEntityTypeID>
        <IsVerdictExists>false</IsVerdictExists>
        <IsAsirAzir>false</IsAsirAzir>
        <MainAndSecSpec/>
        <IsPublicationProhibited>false</IsPublicationProhibited>
        <PublicationProhibitedFullName>כבוד נשיא בית הדין הרבני הגדול</PublicationProhibitedFullName>
      </CaseParties>
      <CaseParties>
        <PartyTypeName>צד</PartyTypeName>
        <ProceedingType>כתב טענות עיקרי</ProceedingType>
        <PleaName>עתירה</PleaName>
        <PartyBelonging>צד ב'</PartyBelonging>
        <RoleName>משיב 3</RoleName>
        <IsSubProceeding>FALSE</IsSubProceeding>
        <FullName>מועצת הרבנות הראשית לישראל</FullName>
        <FirstName/>
        <LastName>מועצת הרבנות הראשית לישראל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275287675</CasePartyID>
        <PartyTypeID>1</PartyTypeID>
        <ActivityStatusID>1</ActivityStatusID>
        <PartyAliasID>4</PartyAliasID>
        <PartyAliasName>משיב</PartyAliasName>
        <OrdinalNumber>3</OrdinalNumber>
        <LegalEntityID>82863365</LegalEntityID>
        <CaseLegalEntityID>131687728</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97984427</LegalEntityNameID>
        <RepresentatedNamesOfAssistant/>
        <LegalEntityTypeID>1</LegalEntityTypeID>
        <IsVerdictExists>false</IsVerdictExists>
        <IsAsirAzir>false</IsAsirAzir>
        <MainAndSecSpec/>
        <IsPublicationProhibited>false</IsPublicationProhibited>
        <PublicationProhibitedFullName>מועצת הרבנות הראשית לישראל</PublicationProhibitedFullName>
      </CaseParties>
      <CaseParties>
        <PartyTypeName>צד</PartyTypeName>
        <ProceedingType>כתב טענות עיקרי</ProceedingType>
        <PleaName>עתירה</PleaName>
        <PartyBelonging>צד ב'</PartyBelonging>
        <RoleName>משיב 4</RoleName>
        <IsSubProceeding>FALSE</IsSubProceeding>
        <FullName>ממשלת ישראל</FullName>
        <FirstName/>
        <LastName>ממשלת ישראל</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275287676</CasePartyID>
        <PartyTypeID>1</PartyTypeID>
        <ActivityStatusID>1</ActivityStatusID>
        <PartyAliasID>4</PartyAliasID>
        <PartyAliasName>משיב</PartyAliasName>
        <OrdinalNumber>4</OrdinalNumber>
        <LegalEntityID>82863405</LegalEntityID>
        <CaseLegalEntityID>131687726</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97984428</LegalEntityNameID>
        <RepresentatedNamesOfAssistant/>
        <LegalEntityTypeID>1</LegalEntityTypeID>
        <IsVerdictExists>false</IsVerdictExists>
        <IsAsirAzir>false</IsAsirAzir>
        <MainAndSecSpec/>
        <IsPublicationProhibited>false</IsPublicationProhibited>
        <PublicationProhibitedFullName>ממשלת ישראל</PublicationProhibitedFullName>
      </CaseParties>
      <CaseParties>
        <PartyTypeName>צד</PartyTypeName>
        <ProceedingType>כתב טענות עיקרי</ProceedingType>
        <PleaName>עתירה</PleaName>
        <PartyBelonging>צד ב'</PartyBelonging>
        <RoleName>משיב 5</RoleName>
        <IsSubProceeding>FALSE</IsSubProceeding>
        <FullName>הרשות לקידום מעמד האשה</FullName>
        <FirstName/>
        <LastName>הרשות לקידום מעמד האשה</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275287677</CasePartyID>
        <PartyTypeID>1</PartyTypeID>
        <ActivityStatusID>1</ActivityStatusID>
        <PartyAliasID>4</PartyAliasID>
        <PartyAliasName>משיב</PartyAliasName>
        <OrdinalNumber>5</OrdinalNumber>
        <LegalEntityID>82863430</LegalEntityID>
        <CaseLegalEntityID>131687723</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97984429</LegalEntityNameID>
        <RepresentatedNamesOfAssistant/>
        <LegalEntityTypeID>1</LegalEntityTypeID>
        <IsVerdictExists>false</IsVerdictExists>
        <IsAsirAzir>false</IsAsirAzir>
        <MainAndSecSpec/>
        <IsPublicationProhibited>false</IsPublicationProhibited>
        <PublicationProhibitedFullName>הרשות לקידום מעמד האשה</PublicationProhibitedFullName>
      </CaseParties>
      <CaseParties>
        <PartyTypeName>צד</PartyTypeName>
        <ProceedingType>כתב טענות עיקרי</ProceedingType>
        <PleaName>עתירה</PleaName>
        <PartyBelonging>צד ב'</PartyBelonging>
        <RoleName>משיב 6</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ענר הלמן</RepresentatedOrRepresentativesNames>
        <RepresentatedOrRepresentativesCount>1</RepresentatedOrRepresentativesCount>
        <InvitedBy/>
        <CaseID>81832571</CaseID>
        <CaseJudicialPersonPresentationDS>
          <CaseJudicalPersonActive>
            <CaseID>81832571</CaseID>
            <JudicialPersonID>1</JudicialPersonID>
            <JudicialPersonTypeID>1</JudicialPersonTypeID>
            <IsChairman>true</IsChairman>
            <TreatmentStartDate>2024-08-08T11:44:14.0047153+03:00</TreatmentStartDate>
            <TreatmentFinishDate>2024-08-08T11:44:14.0047153+03:00</TreatmentFinishDate>
            <DisplayName>יעל וילנר</DisplayName>
            <JudicialTypeName>שופט</JudicialTypeName>
          </CaseJudicalPersonActive>
        </CaseJudicialPersonPresentationDS>
        <CasePartyID>275287678</CasePartyID>
        <PartyTypeID>1</PartyTypeID>
        <ActivityStatusID>1</ActivityStatusID>
        <PartyAliasID>4</PartyAliasID>
        <PartyAliasName>משיב</PartyAliasName>
        <OrdinalNumber>6</OrdinalNumber>
        <LegalEntityID>82863431</LegalEntityID>
        <CaseLegalEntityID>131687724</CaseLegalEntityID>
        <AuthenticationTypeID>1</AuthenticationTypeID>
        <AuthenticationTypeName>ת"ז</AuthenticationTypeName>
        <IsMainPartyType>true</IsMainPartyType>
        <CaseDisplayIdentifier>4266-24</CaseDisplayIdentifier>
        <CaseTypeID>10140</CaseTypeID>
        <CaseTypeName>עתירה לבג"ץ (בג"ץ)</CaseTypeName>
        <CaseName>המרכז לקידום מעמד האשה ע"ש רות ועמנואל רקמן באוניב  נ' כבוד ראש מועצת הרבנות הראשית לציון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97984430</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SelectionDS>
    <CaseName>המרכז לקידום מעמד האשה ע"ש רות ועמנואל רקמן באוניב  נ' כבוד ראש מועצת הרבנות הראשית לציון  ואח'</CaseName>
    <CaseDisplayIdentifier>4266/24</CaseDisplayIdentifier>
    <CaseInterestID>10770</CaseInterestID>
    <CaseTypeShortName>בג"ץ</CaseTypeShortName>
  </dt_DecisionCase>
  <dt_DecisionJudgePanel>
    <JudgeID>056062730@GOV.IL</JudgeID>
    <DisplayName>יעל וילנר</DisplayName>
    <RoleName>שופט</RoleName>
    <UserTitleName>שופטת</UserTitleName>
  </dt_DecisionJudgePanel>
  <dt_LegalEntityDetails>
    <PartyID>1</PartyID>
    <PartyTypeID>1</PartyTypeID>
    <DecisionID>0</DecisionID>
    <FullName> המרכז לקידום מעמד האשה ע"ש רות ועמנואל רקמן באוניב</FullName>
    <IsPublicationProhibited>false</IsPublicationProhibited>
  </dt_LegalEntityDetails>
  <dt_LegalEntityDetails>
    <PartyID>2</PartyID>
    <PartyTypeID>1</PartyTypeID>
    <DecisionID>0</DecisionID>
    <FullName> כבוד ראש מועצת הרבנות הראשית לציון</FullName>
    <IsPublicationProhibited>false</IsPublicationProhibited>
  </dt_LegalEntityDetails>
  <dt_LegalEntityDetails>
    <Fax>03-7360499</Fax>
    <Phone>03-5318895</Phone>
    <AddressDesc>מרכז רקמן-משפטים אונברסיטת בר אילן, רמת גן</AddressDesc>
    <PartyID>1</PartyID>
    <PartyTypeID>2</PartyTypeID>
    <DecisionID>0</DecisionID>
    <ZipCode>5290002</ZipCode>
    <FullName>שי זילברברג</FullName>
    <Email>zilberberg@gmail.com</Email>
    <IsPublicationProhibited>false</IsPublicationProhibited>
  </dt_LegalEntityDetails>
  <dt_LegalEntityDetails>
    <PartyID>2</PartyID>
    <PartyTypeID>2</PartyTypeID>
    <DecisionID>0</DecisionID>
    <IsPublicationProhibited>false</IsPublicationProhibited>
  </dt_LegalEntityDetails>
  <dt_LegalEntityDetails>
    <PartyID>2</PartyID>
    <PartyTypeID>1</PartyTypeID>
    <DecisionID>0</DecisionID>
    <FullName> כבוד נשיא בית הדין הרבני הגדול</FullName>
    <IsPublicationProhibited>false</IsPublicationProhibited>
  </dt_LegalEntityDetails>
  <dt_LegalEntityDetails>
    <Fax/>
    <Phone/>
    <AddressDesc>ת.ד. 6043, תל אביב</AddressDesc>
    <PartyTypeID>3</PartyTypeID>
    <DecisionID>0</DecisionID>
    <AssistantRoleID>33</AssistantRoleID>
    <StreetName/>
    <ZipCode>0</ZipCode>
    <CityName/>
    <FullName>חיים לוי</FullName>
    <Email/>
    <IsPublicationProhibited>false</IsPublicationProhibited>
  </dt_LegalEntityDetails>
  <dt_LegalEntityDetails>
    <PartyID>2</PartyID>
    <PartyTypeID>1</PartyTypeID>
    <DecisionID>0</DecisionID>
    <FullName> מועצת הרבנות הראשית לישראל</FullName>
    <IsPublicationProhibited>false</IsPublicationProhibited>
  </dt_LegalEntityDetails>
  <dt_LegalEntityDetails>
    <PartyID>2</PartyID>
    <PartyTypeID>1</PartyTypeID>
    <DecisionID>0</DecisionID>
    <FullName> ממשלת ישראל</FullName>
    <IsPublicationProhibited>false</IsPublicationProhibited>
  </dt_LegalEntityDetails>
  <dt_LegalEntityDetails>
    <PartyID>2</PartyID>
    <PartyTypeID>1</PartyTypeID>
    <DecisionID>0</DecisionID>
    <FullName> הרשות לקידום מעמד האשה</FullName>
    <IsPublicationProhibited>false</IsPublicationProhibited>
  </dt_LegalEntityDetails>
  <dt_LegalEntityDetails>
    <PartyID>2</PartyID>
    <PartyTypeID>1</PartyTypeID>
    <DecisionID>0</DecisionID>
    <FullName> היועצת המשפטית לממשלה</FullName>
    <IsPublicationProhibited>false</IsPublicationProhibited>
  </dt_LegalEntityDetails>
  <dt_CaseJudicalPersonActive>
    <CaseJudicalPerson xml:space="preserve">  </CaseJudicalPerson>
  </dt_CaseJudicalPersonActive>
  <dt_Sitting>
    <PreviousMeetingDate>2024-07-22T16:30:00+03:00</PreviousMeetingDate>
    <PreviousSittingTypeID>5</PreviousSittingTypeID>
    <PreviousMeetingDisplayName>יעל וילנר, עופר גרוסקופף, אלכס שטיין</PreviousMeetingDisplayName>
    <PreviousMeetingUserUPN>016581688@GOV.IL, 024602203@GOV.IL, 056062730@GOV.IL</PreviousMeetingUserUPN>
  </dt_Sitting>
</DecisionTemplateDS>
</file>

<file path=customXml/item8.xml>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F5119-0A6E-4A52-B286-276F85BF1E3B}"/>
</file>

<file path=customXml/itemProps2.xml><?xml version="1.0" encoding="utf-8"?>
<ds:datastoreItem xmlns:ds="http://schemas.openxmlformats.org/officeDocument/2006/customXml" ds:itemID="{4D6DB0F7-C4CB-4110-95F1-F9017F70AF90}"/>
</file>

<file path=customXml/itemProps3.xml><?xml version="1.0" encoding="utf-8"?>
<ds:datastoreItem xmlns:ds="http://schemas.openxmlformats.org/officeDocument/2006/customXml" ds:itemID="{755D83BE-63A3-43F5-8A41-DE6B2A785342}"/>
</file>

<file path=customXml/itemProps4.xml><?xml version="1.0" encoding="utf-8"?>
<ds:datastoreItem xmlns:ds="http://schemas.openxmlformats.org/officeDocument/2006/customXml" ds:itemID="{4DC580C5-9BE7-40F6-95B2-DB4BFD4EBC23}"/>
</file>

<file path=customXml/itemProps5.xml><?xml version="1.0" encoding="utf-8"?>
<ds:datastoreItem xmlns:ds="http://schemas.openxmlformats.org/officeDocument/2006/customXml" ds:itemID="{BE95BDEB-6B37-45C5-B9CE-DBF3ABD7C354}"/>
</file>

<file path=customXml/itemProps6.xml><?xml version="1.0" encoding="utf-8"?>
<ds:datastoreItem xmlns:ds="http://schemas.openxmlformats.org/officeDocument/2006/customXml" ds:itemID="{61C38DBA-B6CB-4EC9-8104-0D77916BC999}"/>
</file>

<file path=customXml/itemProps7.xml><?xml version="1.0" encoding="utf-8"?>
<ds:datastoreItem xmlns:ds="http://schemas.openxmlformats.org/officeDocument/2006/customXml" ds:itemID="{AFB41F67-9E55-4545-B51B-F4AD57FC4587}">
  <ds:schemaRefs/>
</ds:datastoreItem>
</file>

<file path=customXml/itemProps8.xml><?xml version="1.0" encoding="utf-8"?>
<ds:datastoreItem xmlns:ds="http://schemas.openxmlformats.org/officeDocument/2006/customXml" ds:itemID="{ADBA44EA-D79C-4EC0-8F5C-DDDA2BD4CC58}"/>
</file>

<file path=customXml/itemProps9.xml><?xml version="1.0" encoding="utf-8"?>
<ds:datastoreItem xmlns:ds="http://schemas.openxmlformats.org/officeDocument/2006/customXml" ds:itemID="{80A90C42-02DA-4260-AD9D-403FED0C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2336</Words>
  <Characters>11685</Characters>
  <Application>Microsoft Office Word</Application>
  <DocSecurity>4</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2024-08-08T09:04:00Z</cp:lastPrinted>
  <dcterms:created xsi:type="dcterms:W3CDTF">2024-08-11T06:21:00Z</dcterms:created>
  <dcterms:modified xsi:type="dcterms:W3CDTF">2024-08-11T06:21:00Z</dcterms:modified>
</cp:coreProperties>
</file>